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2113" w14:textId="77777777" w:rsidR="00701FAF" w:rsidRDefault="006619EB" w:rsidP="008374B6">
      <w:pPr>
        <w:rPr>
          <w:rFonts w:ascii="Verdana" w:hAnsi="Verdana"/>
          <w:sz w:val="18"/>
          <w:szCs w:val="18"/>
        </w:rPr>
      </w:pPr>
      <w:r w:rsidRPr="006619EB">
        <w:rPr>
          <w:rFonts w:hint="eastAsia"/>
          <w:b/>
          <w:sz w:val="20"/>
          <w:szCs w:val="20"/>
        </w:rPr>
        <w:t>FCC</w:t>
      </w:r>
      <w:r w:rsidRPr="006619EB">
        <w:rPr>
          <w:rFonts w:hint="eastAsia"/>
          <w:b/>
          <w:sz w:val="20"/>
          <w:szCs w:val="20"/>
        </w:rPr>
        <w:t>登録認定範囲</w:t>
      </w:r>
      <w:r w:rsidR="00EA6B36">
        <w:rPr>
          <w:rFonts w:hint="eastAsia"/>
          <w:b/>
          <w:sz w:val="20"/>
          <w:szCs w:val="20"/>
        </w:rPr>
        <w:t xml:space="preserve">　　　</w:t>
      </w:r>
      <w:hyperlink r:id="rId7" w:tgtFrame="_blank" w:history="1">
        <w:r w:rsidR="00EA6B36">
          <w:rPr>
            <w:rStyle w:val="a9"/>
            <w:rFonts w:ascii="Verdana" w:hAnsi="Verdana"/>
            <w:sz w:val="18"/>
            <w:szCs w:val="18"/>
          </w:rPr>
          <w:t>974614 D01 Accredited Test Lab Roles and Resp v05r0</w:t>
        </w:r>
        <w:r w:rsidR="00701FAF">
          <w:rPr>
            <w:rStyle w:val="a9"/>
            <w:rFonts w:ascii="Verdana" w:hAnsi="Verdana" w:hint="eastAsia"/>
            <w:sz w:val="18"/>
            <w:szCs w:val="18"/>
          </w:rPr>
          <w:t>2</w:t>
        </w:r>
        <w:r w:rsidR="00EA6B36">
          <w:rPr>
            <w:rStyle w:val="a9"/>
            <w:rFonts w:ascii="Verdana" w:hAnsi="Verdana"/>
            <w:sz w:val="18"/>
            <w:szCs w:val="18"/>
          </w:rPr>
          <w:t xml:space="preserve"> </w:t>
        </w:r>
      </w:hyperlink>
      <w:r w:rsidR="00EA6B36">
        <w:rPr>
          <w:rFonts w:ascii="Verdana" w:hAnsi="Verdana" w:hint="eastAsia"/>
          <w:sz w:val="18"/>
          <w:szCs w:val="18"/>
        </w:rPr>
        <w:t xml:space="preserve">　　　　</w:t>
      </w:r>
    </w:p>
    <w:p w14:paraId="4E9E597B" w14:textId="67A10663" w:rsidR="008374B6" w:rsidRDefault="00EA6B36" w:rsidP="00701FAF">
      <w:pPr>
        <w:jc w:val="right"/>
        <w:rPr>
          <w:rFonts w:ascii="Verdana" w:hAnsi="Verdana"/>
          <w:color w:val="0070C0"/>
          <w:sz w:val="18"/>
          <w:szCs w:val="18"/>
        </w:rPr>
      </w:pPr>
      <w:r w:rsidRPr="00701FAF">
        <w:rPr>
          <w:rFonts w:ascii="Verdana" w:hAnsi="Verdana" w:hint="eastAsia"/>
          <w:color w:val="0070C0"/>
          <w:sz w:val="18"/>
          <w:szCs w:val="18"/>
        </w:rPr>
        <w:t>※青字は</w:t>
      </w:r>
      <w:r w:rsidR="00207ED5" w:rsidRPr="00701FAF">
        <w:rPr>
          <w:rFonts w:ascii="Verdana" w:hAnsi="Verdana" w:hint="eastAsia"/>
          <w:color w:val="0070C0"/>
          <w:sz w:val="18"/>
          <w:szCs w:val="18"/>
        </w:rPr>
        <w:t>v05</w:t>
      </w:r>
      <w:r w:rsidR="00701FAF" w:rsidRPr="00701FAF">
        <w:rPr>
          <w:rFonts w:ascii="Verdana" w:hAnsi="Verdana" w:hint="eastAsia"/>
          <w:color w:val="0070C0"/>
          <w:sz w:val="18"/>
          <w:szCs w:val="18"/>
        </w:rPr>
        <w:t>r01</w:t>
      </w:r>
      <w:r w:rsidR="00207ED5" w:rsidRPr="00701FAF">
        <w:rPr>
          <w:rFonts w:ascii="Verdana" w:hAnsi="Verdana" w:hint="eastAsia"/>
          <w:color w:val="0070C0"/>
          <w:sz w:val="18"/>
          <w:szCs w:val="18"/>
        </w:rPr>
        <w:t>との差分</w:t>
      </w:r>
      <w:r w:rsidR="00207ED5">
        <w:rPr>
          <w:rFonts w:ascii="Verdana" w:hAnsi="Verdana" w:hint="eastAsia"/>
          <w:sz w:val="18"/>
          <w:szCs w:val="18"/>
        </w:rPr>
        <w:t xml:space="preserve">; </w:t>
      </w:r>
      <w:r w:rsidR="00701FAF" w:rsidRPr="00207ED5">
        <w:rPr>
          <w:rFonts w:ascii="Verdana" w:hAnsi="Verdana" w:hint="eastAsia"/>
          <w:sz w:val="18"/>
          <w:szCs w:val="18"/>
        </w:rPr>
        <w:t>V05r0</w:t>
      </w:r>
      <w:r w:rsidR="00701FAF">
        <w:rPr>
          <w:rFonts w:ascii="Verdana" w:hAnsi="Verdana" w:hint="eastAsia"/>
          <w:sz w:val="18"/>
          <w:szCs w:val="18"/>
        </w:rPr>
        <w:t>2</w:t>
      </w:r>
      <w:r w:rsidR="00701FAF" w:rsidRPr="00207ED5">
        <w:rPr>
          <w:rFonts w:ascii="Verdana" w:hAnsi="Verdana" w:hint="eastAsia"/>
          <w:sz w:val="18"/>
          <w:szCs w:val="18"/>
        </w:rPr>
        <w:t>:20</w:t>
      </w:r>
      <w:r w:rsidR="00701FAF">
        <w:rPr>
          <w:rFonts w:ascii="Verdana" w:hAnsi="Verdana" w:hint="eastAsia"/>
          <w:sz w:val="18"/>
          <w:szCs w:val="18"/>
        </w:rPr>
        <w:t>23</w:t>
      </w:r>
      <w:r w:rsidR="00701FAF" w:rsidRPr="00207ED5">
        <w:rPr>
          <w:rFonts w:ascii="Verdana" w:hAnsi="Verdana" w:hint="eastAsia"/>
          <w:sz w:val="18"/>
          <w:szCs w:val="18"/>
        </w:rPr>
        <w:t>.</w:t>
      </w:r>
      <w:r w:rsidR="00701FAF">
        <w:rPr>
          <w:rFonts w:ascii="Verdana" w:hAnsi="Verdana" w:hint="eastAsia"/>
          <w:sz w:val="18"/>
          <w:szCs w:val="18"/>
        </w:rPr>
        <w:t>8</w:t>
      </w:r>
      <w:r w:rsidR="00701FAF" w:rsidRPr="00207ED5">
        <w:rPr>
          <w:rFonts w:ascii="Verdana" w:hAnsi="Verdana" w:hint="eastAsia"/>
          <w:sz w:val="18"/>
          <w:szCs w:val="18"/>
        </w:rPr>
        <w:t>.</w:t>
      </w:r>
      <w:r w:rsidR="00701FAF">
        <w:rPr>
          <w:rFonts w:ascii="Verdana" w:hAnsi="Verdana" w:hint="eastAsia"/>
          <w:sz w:val="18"/>
          <w:szCs w:val="18"/>
        </w:rPr>
        <w:t>7</w:t>
      </w:r>
      <w:r w:rsidR="00701FAF">
        <w:rPr>
          <w:rFonts w:ascii="Verdana" w:hAnsi="Verdana" w:hint="eastAsia"/>
          <w:sz w:val="18"/>
          <w:szCs w:val="18"/>
        </w:rPr>
        <w:t>、</w:t>
      </w:r>
      <w:r w:rsidR="00207ED5" w:rsidRPr="00207ED5">
        <w:rPr>
          <w:rFonts w:ascii="Verdana" w:hAnsi="Verdana" w:hint="eastAsia"/>
          <w:sz w:val="18"/>
          <w:szCs w:val="18"/>
        </w:rPr>
        <w:t>V05r01:2019.4.2</w:t>
      </w:r>
      <w:r w:rsidR="00701FAF">
        <w:rPr>
          <w:rFonts w:ascii="Verdana" w:hAnsi="Verdana" w:hint="eastAsia"/>
          <w:sz w:val="18"/>
          <w:szCs w:val="18"/>
        </w:rPr>
        <w:t>、</w:t>
      </w:r>
      <w:r w:rsidR="00207ED5" w:rsidRPr="00207ED5">
        <w:rPr>
          <w:rFonts w:ascii="Verdana" w:hAnsi="Verdana" w:hint="eastAsia"/>
          <w:sz w:val="18"/>
          <w:szCs w:val="18"/>
        </w:rPr>
        <w:t>v05:2018.3.2</w:t>
      </w:r>
      <w:r w:rsidR="00207ED5" w:rsidRPr="00207ED5">
        <w:rPr>
          <w:rFonts w:ascii="Verdana" w:hAnsi="Verdana" w:hint="eastAsia"/>
          <w:sz w:val="18"/>
          <w:szCs w:val="18"/>
        </w:rPr>
        <w:t>、</w:t>
      </w:r>
      <w:r w:rsidR="00207ED5" w:rsidRPr="00207ED5">
        <w:rPr>
          <w:rFonts w:ascii="Verdana" w:hAnsi="Verdana" w:hint="eastAsia"/>
          <w:sz w:val="18"/>
          <w:szCs w:val="18"/>
        </w:rPr>
        <w:t>v04:2016.6.16</w:t>
      </w:r>
      <w:r w:rsidR="00207ED5" w:rsidRPr="00207ED5">
        <w:rPr>
          <w:rFonts w:ascii="Verdana" w:hAnsi="Verdana" w:hint="eastAsia"/>
          <w:sz w:val="18"/>
          <w:szCs w:val="18"/>
        </w:rPr>
        <w:t>、</w:t>
      </w:r>
    </w:p>
    <w:p w14:paraId="2BDBA22B" w14:textId="77777777" w:rsidR="006F045F" w:rsidRPr="006619EB" w:rsidRDefault="006F045F" w:rsidP="008374B6">
      <w:pPr>
        <w:rPr>
          <w:b/>
          <w:sz w:val="20"/>
          <w:szCs w:val="20"/>
        </w:rPr>
      </w:pPr>
      <w:r w:rsidRPr="006F045F">
        <w:rPr>
          <w:b/>
          <w:sz w:val="20"/>
          <w:szCs w:val="20"/>
        </w:rPr>
        <w:t>TABLE A1—Scopes of Accreditation for testing performed in support of FCC Certification approval procedures</w:t>
      </w:r>
    </w:p>
    <w:tbl>
      <w:tblPr>
        <w:tblW w:w="14864" w:type="dxa"/>
        <w:tblInd w:w="-23" w:type="dxa"/>
        <w:tblCellMar>
          <w:left w:w="0" w:type="dxa"/>
          <w:right w:w="0" w:type="dxa"/>
        </w:tblCellMar>
        <w:tblLook w:val="04A0" w:firstRow="1" w:lastRow="0" w:firstColumn="1" w:lastColumn="0" w:noHBand="0" w:noVBand="1"/>
      </w:tblPr>
      <w:tblGrid>
        <w:gridCol w:w="6926"/>
        <w:gridCol w:w="3402"/>
        <w:gridCol w:w="1134"/>
        <w:gridCol w:w="1134"/>
        <w:gridCol w:w="1134"/>
        <w:gridCol w:w="1134"/>
      </w:tblGrid>
      <w:tr w:rsidR="008374B6" w14:paraId="69B4FBF9" w14:textId="77777777" w:rsidTr="00031B82">
        <w:trPr>
          <w:trHeight w:val="285"/>
        </w:trPr>
        <w:tc>
          <w:tcPr>
            <w:tcW w:w="6926" w:type="dxa"/>
            <w:vMerge w:val="restart"/>
            <w:tcBorders>
              <w:top w:val="single" w:sz="8" w:space="0" w:color="auto"/>
              <w:left w:val="single" w:sz="8" w:space="0" w:color="auto"/>
              <w:bottom w:val="single" w:sz="8" w:space="0" w:color="000000"/>
              <w:right w:val="single" w:sz="8" w:space="0" w:color="auto"/>
            </w:tcBorders>
            <w:shd w:val="clear" w:color="auto" w:fill="FDE9D9"/>
            <w:noWrap/>
            <w:tcMar>
              <w:top w:w="0" w:type="dxa"/>
              <w:left w:w="99" w:type="dxa"/>
              <w:bottom w:w="0" w:type="dxa"/>
              <w:right w:w="99" w:type="dxa"/>
            </w:tcMar>
            <w:vAlign w:val="center"/>
            <w:hideMark/>
          </w:tcPr>
          <w:p w14:paraId="23E92756" w14:textId="77777777" w:rsidR="008374B6" w:rsidRDefault="008374B6">
            <w:pPr>
              <w:jc w:val="center"/>
              <w:rPr>
                <w:rFonts w:ascii="ＭＳ Ｐゴシック" w:hAnsi="ＭＳ Ｐゴシック"/>
                <w:color w:val="000000"/>
                <w:sz w:val="22"/>
                <w:szCs w:val="22"/>
              </w:rPr>
            </w:pPr>
            <w:r>
              <w:rPr>
                <w:rFonts w:ascii="ＭＳ Ｐゴシック" w:hAnsi="ＭＳ Ｐゴシック" w:hint="eastAsia"/>
                <w:color w:val="000000"/>
                <w:sz w:val="22"/>
                <w:szCs w:val="22"/>
              </w:rPr>
              <w:t>Scope</w:t>
            </w:r>
          </w:p>
        </w:tc>
        <w:tc>
          <w:tcPr>
            <w:tcW w:w="3402" w:type="dxa"/>
            <w:vMerge w:val="restart"/>
            <w:tcBorders>
              <w:top w:val="single" w:sz="8" w:space="0" w:color="auto"/>
              <w:left w:val="nil"/>
              <w:bottom w:val="single" w:sz="8" w:space="0" w:color="000000"/>
              <w:right w:val="single" w:sz="8" w:space="0" w:color="auto"/>
            </w:tcBorders>
            <w:shd w:val="clear" w:color="auto" w:fill="FDE9D9"/>
            <w:noWrap/>
            <w:tcMar>
              <w:top w:w="0" w:type="dxa"/>
              <w:left w:w="99" w:type="dxa"/>
              <w:bottom w:w="0" w:type="dxa"/>
              <w:right w:w="99" w:type="dxa"/>
            </w:tcMar>
            <w:vAlign w:val="center"/>
            <w:hideMark/>
          </w:tcPr>
          <w:p w14:paraId="4296CE4E" w14:textId="77777777" w:rsidR="008374B6" w:rsidRDefault="008374B6">
            <w:pPr>
              <w:jc w:val="center"/>
              <w:rPr>
                <w:rFonts w:ascii="ＭＳ Ｐゴシック" w:hAnsi="ＭＳ Ｐゴシック"/>
                <w:color w:val="000000"/>
                <w:sz w:val="22"/>
                <w:szCs w:val="22"/>
              </w:rPr>
            </w:pPr>
            <w:r>
              <w:rPr>
                <w:rFonts w:ascii="ＭＳ Ｐゴシック" w:hAnsi="ＭＳ Ｐゴシック" w:hint="eastAsia"/>
                <w:color w:val="000000"/>
                <w:sz w:val="22"/>
                <w:szCs w:val="22"/>
              </w:rPr>
              <w:t>Test Method(s)</w:t>
            </w:r>
          </w:p>
        </w:tc>
        <w:tc>
          <w:tcPr>
            <w:tcW w:w="4536" w:type="dxa"/>
            <w:gridSpan w:val="4"/>
            <w:tcBorders>
              <w:top w:val="single" w:sz="8" w:space="0" w:color="auto"/>
              <w:left w:val="nil"/>
              <w:bottom w:val="single" w:sz="8" w:space="0" w:color="auto"/>
              <w:right w:val="single" w:sz="8" w:space="0" w:color="000000"/>
            </w:tcBorders>
            <w:shd w:val="clear" w:color="auto" w:fill="FDE9D9"/>
            <w:noWrap/>
            <w:tcMar>
              <w:top w:w="0" w:type="dxa"/>
              <w:left w:w="99" w:type="dxa"/>
              <w:bottom w:w="0" w:type="dxa"/>
              <w:right w:w="99" w:type="dxa"/>
            </w:tcMar>
            <w:vAlign w:val="center"/>
            <w:hideMark/>
          </w:tcPr>
          <w:p w14:paraId="2E756BCA" w14:textId="77777777" w:rsidR="008374B6" w:rsidRDefault="006619EB">
            <w:pPr>
              <w:jc w:val="center"/>
              <w:rPr>
                <w:rFonts w:ascii="ＭＳ Ｐゴシック" w:hAnsi="ＭＳ Ｐゴシック"/>
                <w:color w:val="000000"/>
                <w:sz w:val="22"/>
                <w:szCs w:val="22"/>
              </w:rPr>
            </w:pPr>
            <w:r>
              <w:rPr>
                <w:rFonts w:ascii="ＭＳ Ｐゴシック" w:hAnsi="ＭＳ Ｐゴシック" w:hint="eastAsia"/>
                <w:color w:val="000000"/>
                <w:sz w:val="22"/>
                <w:szCs w:val="22"/>
              </w:rPr>
              <w:t>試験サイト（</w:t>
            </w:r>
            <w:r w:rsidR="008374B6">
              <w:rPr>
                <w:rFonts w:ascii="ＭＳ Ｐゴシック" w:hAnsi="ＭＳ Ｐゴシック" w:hint="eastAsia"/>
                <w:color w:val="000000"/>
                <w:sz w:val="22"/>
                <w:szCs w:val="22"/>
              </w:rPr>
              <w:t>測定上限周波数</w:t>
            </w:r>
            <w:r>
              <w:rPr>
                <w:rFonts w:ascii="ＭＳ Ｐゴシック" w:hAnsi="ＭＳ Ｐゴシック" w:hint="eastAsia"/>
                <w:color w:val="000000"/>
                <w:sz w:val="22"/>
                <w:szCs w:val="22"/>
              </w:rPr>
              <w:t>）</w:t>
            </w:r>
          </w:p>
        </w:tc>
      </w:tr>
      <w:tr w:rsidR="008374B6" w14:paraId="51E65B76" w14:textId="77777777" w:rsidTr="00031B82">
        <w:trPr>
          <w:trHeight w:val="285"/>
        </w:trPr>
        <w:tc>
          <w:tcPr>
            <w:tcW w:w="6926" w:type="dxa"/>
            <w:vMerge/>
            <w:tcBorders>
              <w:top w:val="single" w:sz="8" w:space="0" w:color="auto"/>
              <w:left w:val="single" w:sz="8" w:space="0" w:color="auto"/>
              <w:bottom w:val="single" w:sz="8" w:space="0" w:color="auto"/>
              <w:right w:val="single" w:sz="8" w:space="0" w:color="auto"/>
            </w:tcBorders>
            <w:vAlign w:val="center"/>
            <w:hideMark/>
          </w:tcPr>
          <w:p w14:paraId="5F336642" w14:textId="77777777" w:rsidR="008374B6" w:rsidRDefault="008374B6">
            <w:pPr>
              <w:jc w:val="left"/>
              <w:rPr>
                <w:rFonts w:ascii="ＭＳ Ｐゴシック" w:hAnsi="ＭＳ Ｐゴシック"/>
                <w:color w:val="000000"/>
                <w:sz w:val="22"/>
                <w:szCs w:val="22"/>
              </w:rPr>
            </w:pPr>
          </w:p>
        </w:tc>
        <w:tc>
          <w:tcPr>
            <w:tcW w:w="3402" w:type="dxa"/>
            <w:vMerge/>
            <w:tcBorders>
              <w:top w:val="single" w:sz="8" w:space="0" w:color="auto"/>
              <w:left w:val="nil"/>
              <w:bottom w:val="single" w:sz="8" w:space="0" w:color="auto"/>
              <w:right w:val="single" w:sz="8" w:space="0" w:color="auto"/>
            </w:tcBorders>
            <w:vAlign w:val="center"/>
            <w:hideMark/>
          </w:tcPr>
          <w:p w14:paraId="51E6D3E8" w14:textId="77777777" w:rsidR="008374B6" w:rsidRDefault="008374B6">
            <w:pPr>
              <w:jc w:val="left"/>
              <w:rPr>
                <w:rFonts w:ascii="ＭＳ Ｐゴシック" w:hAnsi="ＭＳ Ｐゴシック"/>
                <w:color w:val="000000"/>
                <w:sz w:val="22"/>
                <w:szCs w:val="22"/>
              </w:rPr>
            </w:pPr>
          </w:p>
        </w:tc>
        <w:tc>
          <w:tcPr>
            <w:tcW w:w="1134" w:type="dxa"/>
            <w:tcBorders>
              <w:top w:val="nil"/>
              <w:left w:val="nil"/>
              <w:bottom w:val="single" w:sz="8" w:space="0" w:color="auto"/>
              <w:right w:val="nil"/>
            </w:tcBorders>
            <w:shd w:val="clear" w:color="auto" w:fill="FDE9D9"/>
            <w:noWrap/>
            <w:tcMar>
              <w:top w:w="0" w:type="dxa"/>
              <w:left w:w="99" w:type="dxa"/>
              <w:bottom w:w="0" w:type="dxa"/>
              <w:right w:w="99" w:type="dxa"/>
            </w:tcMar>
            <w:vAlign w:val="center"/>
          </w:tcPr>
          <w:p w14:paraId="1F5C54A2" w14:textId="77777777" w:rsidR="008374B6" w:rsidRDefault="008374B6" w:rsidP="00461ECE">
            <w:pPr>
              <w:rPr>
                <w:rFonts w:ascii="ＭＳ Ｐゴシック" w:hAnsi="ＭＳ Ｐゴシック"/>
                <w:color w:val="000000"/>
                <w:sz w:val="22"/>
                <w:szCs w:val="22"/>
              </w:rPr>
            </w:pPr>
          </w:p>
        </w:tc>
        <w:tc>
          <w:tcPr>
            <w:tcW w:w="1134" w:type="dxa"/>
            <w:tcBorders>
              <w:top w:val="nil"/>
              <w:left w:val="single" w:sz="8" w:space="0" w:color="auto"/>
              <w:bottom w:val="single" w:sz="8" w:space="0" w:color="auto"/>
              <w:right w:val="single" w:sz="8" w:space="0" w:color="auto"/>
            </w:tcBorders>
            <w:shd w:val="clear" w:color="auto" w:fill="FDE9D9"/>
            <w:noWrap/>
            <w:tcMar>
              <w:top w:w="0" w:type="dxa"/>
              <w:left w:w="99" w:type="dxa"/>
              <w:bottom w:w="0" w:type="dxa"/>
              <w:right w:w="99" w:type="dxa"/>
            </w:tcMar>
            <w:vAlign w:val="center"/>
          </w:tcPr>
          <w:p w14:paraId="34278D2A" w14:textId="77777777" w:rsidR="008374B6" w:rsidRDefault="008374B6">
            <w:pPr>
              <w:jc w:val="center"/>
              <w:rPr>
                <w:rFonts w:ascii="ＭＳ Ｐゴシック" w:hAnsi="ＭＳ Ｐゴシック"/>
                <w:color w:val="000000"/>
                <w:sz w:val="22"/>
                <w:szCs w:val="22"/>
              </w:rPr>
            </w:pPr>
          </w:p>
        </w:tc>
        <w:tc>
          <w:tcPr>
            <w:tcW w:w="1134" w:type="dxa"/>
            <w:tcBorders>
              <w:top w:val="nil"/>
              <w:left w:val="nil"/>
              <w:bottom w:val="single" w:sz="8" w:space="0" w:color="auto"/>
              <w:right w:val="nil"/>
            </w:tcBorders>
            <w:shd w:val="clear" w:color="auto" w:fill="FDE9D9"/>
            <w:noWrap/>
            <w:tcMar>
              <w:top w:w="0" w:type="dxa"/>
              <w:left w:w="99" w:type="dxa"/>
              <w:bottom w:w="0" w:type="dxa"/>
              <w:right w:w="99" w:type="dxa"/>
            </w:tcMar>
            <w:vAlign w:val="center"/>
          </w:tcPr>
          <w:p w14:paraId="6C5F5494" w14:textId="77777777" w:rsidR="008374B6" w:rsidRDefault="008374B6">
            <w:pPr>
              <w:jc w:val="center"/>
              <w:rPr>
                <w:rFonts w:ascii="ＭＳ Ｐゴシック" w:hAnsi="ＭＳ Ｐゴシック"/>
                <w:color w:val="000000"/>
                <w:sz w:val="22"/>
                <w:szCs w:val="22"/>
              </w:rPr>
            </w:pPr>
          </w:p>
        </w:tc>
        <w:tc>
          <w:tcPr>
            <w:tcW w:w="1134" w:type="dxa"/>
            <w:tcBorders>
              <w:top w:val="nil"/>
              <w:left w:val="single" w:sz="8" w:space="0" w:color="auto"/>
              <w:bottom w:val="single" w:sz="8" w:space="0" w:color="auto"/>
              <w:right w:val="single" w:sz="8" w:space="0" w:color="auto"/>
            </w:tcBorders>
            <w:shd w:val="clear" w:color="auto" w:fill="FDE9D9"/>
            <w:noWrap/>
            <w:tcMar>
              <w:top w:w="0" w:type="dxa"/>
              <w:left w:w="99" w:type="dxa"/>
              <w:bottom w:w="0" w:type="dxa"/>
              <w:right w:w="99" w:type="dxa"/>
            </w:tcMar>
            <w:vAlign w:val="center"/>
          </w:tcPr>
          <w:p w14:paraId="203CA72E" w14:textId="77777777" w:rsidR="008374B6" w:rsidRDefault="008374B6">
            <w:pPr>
              <w:jc w:val="center"/>
              <w:rPr>
                <w:rFonts w:ascii="ＭＳ Ｐゴシック" w:hAnsi="ＭＳ Ｐゴシック"/>
                <w:color w:val="000000"/>
                <w:sz w:val="22"/>
                <w:szCs w:val="22"/>
              </w:rPr>
            </w:pPr>
          </w:p>
        </w:tc>
      </w:tr>
      <w:tr w:rsidR="008374B6" w14:paraId="68665B6D" w14:textId="77777777" w:rsidTr="00342978">
        <w:trPr>
          <w:trHeight w:val="611"/>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0D4FB036" w14:textId="77777777" w:rsidR="008374B6" w:rsidRPr="006619EB" w:rsidRDefault="008374B6">
            <w:pPr>
              <w:jc w:val="left"/>
              <w:rPr>
                <w:rFonts w:ascii="ＭＳ Ｐゴシック" w:hAnsi="ＭＳ Ｐゴシック"/>
                <w:color w:val="000000"/>
              </w:rPr>
            </w:pPr>
            <w:r w:rsidRPr="006619EB">
              <w:rPr>
                <w:rFonts w:ascii="ＭＳ Ｐゴシック" w:hAnsi="ＭＳ Ｐゴシック" w:hint="eastAsia"/>
                <w:color w:val="000000"/>
              </w:rPr>
              <w:t>Unintentional Radiators (FCC Part 15, Subpart B)</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4527C223" w14:textId="77777777" w:rsidR="008374B6" w:rsidRPr="006619EB" w:rsidRDefault="008374B6">
            <w:pPr>
              <w:jc w:val="left"/>
              <w:rPr>
                <w:rFonts w:ascii="ＭＳ Ｐゴシック" w:hAnsi="ＭＳ Ｐゴシック"/>
                <w:color w:val="000000"/>
              </w:rPr>
            </w:pPr>
            <w:r w:rsidRPr="006619EB">
              <w:rPr>
                <w:rFonts w:ascii="ＭＳ Ｐゴシック" w:hAnsi="ＭＳ Ｐゴシック" w:hint="eastAsia"/>
                <w:color w:val="000000"/>
              </w:rPr>
              <w:t>ANSI C63.4-2014</w:t>
            </w:r>
          </w:p>
        </w:tc>
        <w:tc>
          <w:tcPr>
            <w:tcW w:w="1134" w:type="dxa"/>
            <w:tcBorders>
              <w:top w:val="single" w:sz="8" w:space="0" w:color="auto"/>
              <w:bottom w:val="single" w:sz="8" w:space="0" w:color="auto"/>
            </w:tcBorders>
            <w:noWrap/>
            <w:tcMar>
              <w:top w:w="0" w:type="dxa"/>
              <w:left w:w="99" w:type="dxa"/>
              <w:bottom w:w="0" w:type="dxa"/>
              <w:right w:w="99" w:type="dxa"/>
            </w:tcMar>
          </w:tcPr>
          <w:p w14:paraId="214F8D3C"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tcPr>
          <w:p w14:paraId="03EA0C72"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bottom w:val="single" w:sz="8" w:space="0" w:color="auto"/>
            </w:tcBorders>
            <w:noWrap/>
            <w:tcMar>
              <w:top w:w="0" w:type="dxa"/>
              <w:left w:w="99" w:type="dxa"/>
              <w:bottom w:w="0" w:type="dxa"/>
              <w:right w:w="99" w:type="dxa"/>
            </w:tcMar>
          </w:tcPr>
          <w:p w14:paraId="44EC1621"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tcPr>
          <w:p w14:paraId="3019C9FA" w14:textId="77777777" w:rsidR="008374B6" w:rsidRPr="006619EB" w:rsidRDefault="008374B6">
            <w:pPr>
              <w:jc w:val="right"/>
              <w:rPr>
                <w:rFonts w:ascii="ＭＳ Ｐゴシック" w:hAnsi="ＭＳ Ｐゴシック"/>
                <w:color w:val="000000"/>
              </w:rPr>
            </w:pPr>
          </w:p>
        </w:tc>
      </w:tr>
      <w:tr w:rsidR="008374B6" w14:paraId="015F5A25" w14:textId="77777777" w:rsidTr="00342978">
        <w:trPr>
          <w:trHeight w:val="54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39CE5C1C" w14:textId="77777777" w:rsidR="00461ECE" w:rsidRPr="006619EB" w:rsidRDefault="008374B6" w:rsidP="00461ECE">
            <w:pPr>
              <w:jc w:val="left"/>
              <w:rPr>
                <w:rFonts w:ascii="ＭＳ Ｐゴシック" w:hAnsi="ＭＳ Ｐゴシック"/>
                <w:color w:val="000000"/>
              </w:rPr>
            </w:pPr>
            <w:r w:rsidRPr="006619EB">
              <w:rPr>
                <w:rFonts w:ascii="ＭＳ Ｐゴシック" w:hAnsi="ＭＳ Ｐゴシック" w:hint="eastAsia"/>
                <w:color w:val="000000"/>
              </w:rPr>
              <w:t xml:space="preserve">Industrial, Scientific, and Medical Equipment (FCC Part 18) </w:t>
            </w:r>
          </w:p>
          <w:p w14:paraId="3CB06D26" w14:textId="77777777" w:rsidR="008374B6" w:rsidRPr="006619EB" w:rsidRDefault="008374B6" w:rsidP="00461ECE">
            <w:pPr>
              <w:jc w:val="left"/>
              <w:rPr>
                <w:rFonts w:ascii="ＭＳ Ｐゴシック" w:hAnsi="ＭＳ Ｐゴシック"/>
                <w:color w:val="000000"/>
              </w:rPr>
            </w:pPr>
            <w:r w:rsidRPr="006619EB">
              <w:rPr>
                <w:rFonts w:ascii="ＭＳ Ｐゴシック" w:hAnsi="ＭＳ Ｐゴシック" w:hint="eastAsia"/>
                <w:color w:val="000000"/>
              </w:rPr>
              <w:t>· Consumer ISM equipment</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57580F83" w14:textId="77777777" w:rsidR="008374B6" w:rsidRPr="006619EB" w:rsidRDefault="00EA6B36">
            <w:pPr>
              <w:jc w:val="left"/>
              <w:rPr>
                <w:rFonts w:ascii="ＭＳ Ｐゴシック" w:hAnsi="ＭＳ Ｐゴシック"/>
                <w:color w:val="000000"/>
              </w:rPr>
            </w:pPr>
            <w:r w:rsidRPr="00A91603">
              <w:rPr>
                <w:rFonts w:ascii="ＭＳ Ｐゴシック" w:hAnsi="ＭＳ Ｐゴシック"/>
              </w:rPr>
              <w:t>FCC MP-5 (February 1986)</w:t>
            </w: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68580415"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13A17E43"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57581A5"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7FB5E58" w14:textId="77777777" w:rsidR="008374B6" w:rsidRPr="006619EB" w:rsidRDefault="008374B6">
            <w:pPr>
              <w:jc w:val="right"/>
              <w:rPr>
                <w:rFonts w:ascii="ＭＳ Ｐゴシック" w:hAnsi="ＭＳ Ｐゴシック"/>
                <w:color w:val="000000"/>
              </w:rPr>
            </w:pPr>
          </w:p>
        </w:tc>
      </w:tr>
      <w:tr w:rsidR="008374B6" w14:paraId="04B95766" w14:textId="77777777" w:rsidTr="00342978">
        <w:trPr>
          <w:trHeight w:val="27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421200CD" w14:textId="77777777" w:rsidR="008374B6" w:rsidRPr="006619EB" w:rsidRDefault="008374B6">
            <w:pPr>
              <w:jc w:val="left"/>
              <w:rPr>
                <w:rFonts w:ascii="ＭＳ Ｐゴシック" w:hAnsi="ＭＳ Ｐゴシック"/>
                <w:color w:val="000000"/>
              </w:rPr>
            </w:pPr>
            <w:r w:rsidRPr="006619EB">
              <w:rPr>
                <w:rFonts w:ascii="ＭＳ Ｐゴシック" w:hAnsi="ＭＳ Ｐゴシック" w:hint="eastAsia"/>
                <w:color w:val="000000"/>
              </w:rPr>
              <w:t>Intentional Radiators (FCC Part 15 Subpart C)</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47B59DA0" w14:textId="77777777" w:rsidR="008374B6" w:rsidRPr="006619EB" w:rsidRDefault="000174BA">
            <w:pPr>
              <w:jc w:val="left"/>
              <w:rPr>
                <w:rFonts w:ascii="ＭＳ Ｐゴシック" w:hAnsi="ＭＳ Ｐゴシック"/>
                <w:color w:val="000000"/>
              </w:rPr>
            </w:pPr>
            <w:r w:rsidRPr="006619EB">
              <w:rPr>
                <w:rFonts w:ascii="ＭＳ Ｐゴシック" w:hAnsi="ＭＳ Ｐゴシック" w:hint="eastAsia"/>
                <w:color w:val="000000"/>
              </w:rPr>
              <w:t>ANSI C63.10-2013</w:t>
            </w: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1D6CF0AC"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759BF63"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9102F0D" w14:textId="77777777" w:rsidR="008374B6" w:rsidRPr="006619EB" w:rsidRDefault="008374B6">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CE9E9C1" w14:textId="77777777" w:rsidR="008374B6" w:rsidRPr="006619EB" w:rsidRDefault="008374B6">
            <w:pPr>
              <w:jc w:val="right"/>
              <w:rPr>
                <w:rFonts w:ascii="ＭＳ Ｐゴシック" w:hAnsi="ＭＳ Ｐゴシック"/>
                <w:color w:val="000000"/>
              </w:rPr>
            </w:pPr>
          </w:p>
        </w:tc>
      </w:tr>
      <w:tr w:rsidR="00461ECE" w14:paraId="288CF5E3" w14:textId="77777777" w:rsidTr="00342978">
        <w:trPr>
          <w:trHeight w:val="27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555AA611" w14:textId="77777777" w:rsidR="00461ECE" w:rsidRPr="006619EB" w:rsidRDefault="00461ECE" w:rsidP="00167F1C">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UPCS (FCC Part 15, Subpart D) </w:t>
            </w:r>
          </w:p>
          <w:p w14:paraId="11A1B4FE" w14:textId="77777777" w:rsidR="00461ECE" w:rsidRPr="006619EB" w:rsidRDefault="00EA6B36" w:rsidP="00EA6B36">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461ECE" w:rsidRPr="006619EB">
              <w:rPr>
                <w:rFonts w:ascii="ＭＳ Ｐゴシック" w:eastAsia="ＭＳ Ｐゴシック" w:hAnsi="ＭＳ Ｐゴシック"/>
                <w:sz w:val="21"/>
                <w:szCs w:val="21"/>
              </w:rPr>
              <w:t xml:space="preserve">Unlicensed Personal Communication Systems devices </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03A92D73" w14:textId="4F741C00" w:rsidR="00461ECE" w:rsidRPr="006619EB" w:rsidRDefault="00461ECE" w:rsidP="00167F1C">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ANSI C63.17-2013</w:t>
            </w:r>
          </w:p>
          <w:p w14:paraId="0C413899" w14:textId="77777777" w:rsidR="00461ECE" w:rsidRPr="006619EB" w:rsidRDefault="00461ECE" w:rsidP="00167F1C">
            <w:pPr>
              <w:pStyle w:val="Default"/>
              <w:rPr>
                <w:rFonts w:ascii="ＭＳ Ｐゴシック" w:eastAsia="ＭＳ Ｐゴシック" w:hAnsi="ＭＳ Ｐゴシック"/>
                <w:sz w:val="21"/>
                <w:szCs w:val="21"/>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D24F251"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D70D1C3"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C2BF27D"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D029EA5" w14:textId="77777777" w:rsidR="00461ECE" w:rsidRPr="006619EB" w:rsidRDefault="00461ECE">
            <w:pPr>
              <w:jc w:val="right"/>
              <w:rPr>
                <w:rFonts w:ascii="ＭＳ Ｐゴシック" w:hAnsi="ＭＳ Ｐゴシック"/>
                <w:color w:val="000000"/>
              </w:rPr>
            </w:pPr>
          </w:p>
        </w:tc>
      </w:tr>
      <w:tr w:rsidR="00461ECE" w14:paraId="59AAC180" w14:textId="77777777" w:rsidTr="00342978">
        <w:trPr>
          <w:trHeight w:val="27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42C1C60E" w14:textId="77777777" w:rsidR="00461ECE" w:rsidRPr="00A91603" w:rsidRDefault="00461ECE">
            <w:pPr>
              <w:jc w:val="left"/>
              <w:rPr>
                <w:rFonts w:ascii="ＭＳ Ｐゴシック" w:hAnsi="ＭＳ Ｐゴシック"/>
              </w:rPr>
            </w:pPr>
            <w:r w:rsidRPr="006619EB">
              <w:rPr>
                <w:rFonts w:ascii="ＭＳ Ｐゴシック" w:hAnsi="ＭＳ Ｐゴシック" w:hint="eastAsia"/>
                <w:color w:val="000000"/>
              </w:rPr>
              <w:t>U-</w:t>
            </w:r>
            <w:r w:rsidRPr="00A91603">
              <w:rPr>
                <w:rFonts w:ascii="ＭＳ Ｐゴシック" w:hAnsi="ＭＳ Ｐゴシック" w:hint="eastAsia"/>
              </w:rPr>
              <w:t>NII without DFS International Radiators</w:t>
            </w:r>
            <w:r w:rsidR="007B529E" w:rsidRPr="00A91603">
              <w:rPr>
                <w:rFonts w:ascii="ＭＳ Ｐゴシック" w:hAnsi="ＭＳ Ｐゴシック" w:hint="eastAsia"/>
              </w:rPr>
              <w:t xml:space="preserve"> </w:t>
            </w:r>
            <w:r w:rsidRPr="00A91603">
              <w:rPr>
                <w:rFonts w:ascii="ＭＳ Ｐゴシック" w:hAnsi="ＭＳ Ｐゴシック" w:hint="eastAsia"/>
              </w:rPr>
              <w:t>(FCC Part 15 Subpart E)</w:t>
            </w:r>
          </w:p>
          <w:p w14:paraId="1ED7D098" w14:textId="77777777" w:rsidR="00EA6B36" w:rsidRPr="006619EB" w:rsidRDefault="00EA6B36" w:rsidP="00EA6B36">
            <w:pPr>
              <w:ind w:left="158" w:hangingChars="75" w:hanging="158"/>
              <w:jc w:val="left"/>
              <w:rPr>
                <w:rFonts w:ascii="ＭＳ Ｐゴシック" w:hAnsi="ＭＳ Ｐゴシック"/>
                <w:color w:val="000000"/>
              </w:rPr>
            </w:pPr>
            <w:r w:rsidRPr="00A91603">
              <w:rPr>
                <w:rFonts w:ascii="ＭＳ Ｐゴシック" w:hAnsi="ＭＳ Ｐゴシック" w:hint="eastAsia"/>
              </w:rPr>
              <w:t xml:space="preserve">･ </w:t>
            </w:r>
            <w:r w:rsidRPr="00A91603">
              <w:rPr>
                <w:rFonts w:ascii="ＭＳ Ｐゴシック" w:hAnsi="ＭＳ Ｐゴシック"/>
              </w:rPr>
              <w:t>Unlicensed National Information Infrastructure Devices</w:t>
            </w:r>
            <w:r w:rsidRPr="00342978">
              <w:rPr>
                <w:rFonts w:ascii="ＭＳ Ｐゴシック" w:hAnsi="ＭＳ Ｐゴシック"/>
                <w:sz w:val="20"/>
                <w:szCs w:val="20"/>
              </w:rPr>
              <w:t xml:space="preserve"> (U-NII without DFS)</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586A11F6" w14:textId="77777777" w:rsidR="00461ECE" w:rsidRPr="006619EB" w:rsidRDefault="00461ECE">
            <w:pPr>
              <w:jc w:val="left"/>
              <w:rPr>
                <w:rFonts w:ascii="ＭＳ Ｐゴシック" w:hAnsi="ＭＳ Ｐゴシック"/>
                <w:color w:val="000000"/>
              </w:rPr>
            </w:pPr>
            <w:r w:rsidRPr="006619EB">
              <w:rPr>
                <w:rFonts w:ascii="ＭＳ Ｐゴシック" w:hAnsi="ＭＳ Ｐゴシック" w:hint="eastAsia"/>
                <w:color w:val="000000"/>
              </w:rPr>
              <w:t>ANSI C63.10-2013</w:t>
            </w: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83FF3CA"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8787C07"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513AE4E5"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5B6C028D" w14:textId="77777777" w:rsidR="00461ECE" w:rsidRPr="006619EB" w:rsidRDefault="00461ECE">
            <w:pPr>
              <w:jc w:val="right"/>
              <w:rPr>
                <w:rFonts w:ascii="ＭＳ Ｐゴシック" w:hAnsi="ＭＳ Ｐゴシック"/>
                <w:color w:val="000000"/>
              </w:rPr>
            </w:pPr>
          </w:p>
        </w:tc>
      </w:tr>
      <w:tr w:rsidR="00461ECE" w14:paraId="09F925EE" w14:textId="77777777" w:rsidTr="00342978">
        <w:trPr>
          <w:trHeight w:val="27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06CE2305" w14:textId="2DEA3F96" w:rsidR="00461ECE" w:rsidRPr="00A91603" w:rsidRDefault="00461ECE" w:rsidP="00031B82">
            <w:pPr>
              <w:spacing w:line="240" w:lineRule="atLeast"/>
              <w:jc w:val="left"/>
              <w:rPr>
                <w:rFonts w:ascii="ＭＳ Ｐゴシック" w:hAnsi="ＭＳ Ｐゴシック"/>
              </w:rPr>
            </w:pPr>
            <w:r w:rsidRPr="006619EB">
              <w:rPr>
                <w:rFonts w:ascii="ＭＳ Ｐゴシック" w:hAnsi="ＭＳ Ｐゴシック" w:hint="eastAsia"/>
                <w:color w:val="000000"/>
              </w:rPr>
              <w:t>U-</w:t>
            </w:r>
            <w:r w:rsidRPr="00A91603">
              <w:rPr>
                <w:rFonts w:ascii="ＭＳ Ｐゴシック" w:hAnsi="ＭＳ Ｐゴシック" w:hint="eastAsia"/>
              </w:rPr>
              <w:t>NII with DFS International Radiators</w:t>
            </w:r>
            <w:r w:rsidR="007B529E" w:rsidRPr="00A91603">
              <w:rPr>
                <w:rFonts w:ascii="ＭＳ Ｐゴシック" w:hAnsi="ＭＳ Ｐゴシック" w:hint="eastAsia"/>
              </w:rPr>
              <w:t xml:space="preserve"> </w:t>
            </w:r>
            <w:r w:rsidRPr="00A91603">
              <w:rPr>
                <w:rFonts w:ascii="ＭＳ Ｐゴシック" w:hAnsi="ＭＳ Ｐゴシック" w:hint="eastAsia"/>
              </w:rPr>
              <w:t>(FCC Part 15 Subpart E)</w:t>
            </w:r>
          </w:p>
          <w:p w14:paraId="2D22304A" w14:textId="77777777" w:rsidR="00461ECE" w:rsidRPr="006619EB" w:rsidRDefault="00EA6B36" w:rsidP="00031B82">
            <w:pPr>
              <w:spacing w:line="240" w:lineRule="exact"/>
              <w:ind w:left="158" w:hangingChars="75" w:hanging="158"/>
              <w:jc w:val="left"/>
              <w:rPr>
                <w:rFonts w:ascii="ＭＳ Ｐゴシック" w:hAnsi="ＭＳ Ｐゴシック"/>
                <w:color w:val="000000"/>
              </w:rPr>
            </w:pPr>
            <w:r w:rsidRPr="00A91603">
              <w:rPr>
                <w:rFonts w:ascii="ＭＳ Ｐゴシック" w:hAnsi="ＭＳ Ｐゴシック" w:hint="eastAsia"/>
              </w:rPr>
              <w:t xml:space="preserve">･ </w:t>
            </w:r>
            <w:r w:rsidRPr="00A91603">
              <w:rPr>
                <w:rFonts w:ascii="ＭＳ Ｐゴシック" w:hAnsi="ＭＳ Ｐゴシック"/>
              </w:rPr>
              <w:t>Unlicensed National Information Infrastructure U-NII) Devices with Dynamic Frequency Selection (DFS)</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4EFDB539" w14:textId="15C42299" w:rsidR="00701FAF" w:rsidRPr="00701FAF" w:rsidRDefault="00701FAF" w:rsidP="00AF3F11">
            <w:pPr>
              <w:jc w:val="left"/>
              <w:rPr>
                <w:rFonts w:ascii="ＭＳ Ｐゴシック" w:hAnsi="ＭＳ Ｐゴシック"/>
                <w:color w:val="0070C0"/>
              </w:rPr>
            </w:pPr>
            <w:r w:rsidRPr="00701FAF">
              <w:rPr>
                <w:rFonts w:ascii="ＭＳ Ｐゴシック" w:hAnsi="ＭＳ Ｐゴシック"/>
                <w:color w:val="0070C0"/>
              </w:rPr>
              <w:t>ANSI C63.10-2013</w:t>
            </w:r>
          </w:p>
          <w:p w14:paraId="13A34693" w14:textId="277F055E" w:rsidR="007B529E" w:rsidRPr="006619EB" w:rsidRDefault="007B529E" w:rsidP="00031B82">
            <w:pPr>
              <w:spacing w:line="240" w:lineRule="exact"/>
              <w:ind w:left="189" w:hangingChars="90" w:hanging="189"/>
              <w:jc w:val="left"/>
              <w:rPr>
                <w:rFonts w:ascii="ＭＳ Ｐゴシック" w:hAnsi="ＭＳ Ｐゴシック"/>
                <w:color w:val="000000"/>
              </w:rPr>
            </w:pPr>
            <w:r w:rsidRPr="00A91603">
              <w:rPr>
                <w:rFonts w:ascii="ＭＳ Ｐゴシック" w:hAnsi="ＭＳ Ｐゴシック"/>
              </w:rPr>
              <w:t>FCC KDB Publication 905462 D02 U-NII DFS Compliance Procedures New Rules v02 (April 8, 2016)</w:t>
            </w: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9D73803"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508CB749"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1605073"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26FB18F5" w14:textId="77777777" w:rsidR="00461ECE" w:rsidRPr="006619EB" w:rsidRDefault="00461ECE">
            <w:pPr>
              <w:jc w:val="right"/>
              <w:rPr>
                <w:rFonts w:ascii="ＭＳ Ｐゴシック" w:hAnsi="ＭＳ Ｐゴシック"/>
                <w:color w:val="000000"/>
              </w:rPr>
            </w:pPr>
          </w:p>
        </w:tc>
      </w:tr>
      <w:tr w:rsidR="00461ECE" w14:paraId="2BE5C7F9" w14:textId="77777777" w:rsidTr="00342978">
        <w:trPr>
          <w:trHeight w:val="27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3630D468" w14:textId="77777777" w:rsidR="00461ECE" w:rsidRPr="006619EB" w:rsidRDefault="00461ECE" w:rsidP="00167F1C">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UWB Intentional Radiators (FCC Part 15, Subpart F) </w:t>
            </w:r>
          </w:p>
          <w:p w14:paraId="0A51756C" w14:textId="77777777" w:rsidR="00461ECE" w:rsidRPr="006619EB" w:rsidRDefault="007B529E" w:rsidP="006619EB">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461ECE" w:rsidRPr="006619EB">
              <w:rPr>
                <w:rFonts w:ascii="ＭＳ Ｐゴシック" w:eastAsia="ＭＳ Ｐゴシック" w:hAnsi="ＭＳ Ｐゴシック"/>
                <w:sz w:val="21"/>
                <w:szCs w:val="21"/>
              </w:rPr>
              <w:t xml:space="preserve">Ultra-wideband Operation </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72126954" w14:textId="77777777" w:rsidR="00461ECE" w:rsidRPr="006619EB" w:rsidRDefault="00461ECE" w:rsidP="00167F1C">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 C63.10-2013 </w:t>
            </w:r>
          </w:p>
          <w:p w14:paraId="475FA517" w14:textId="77777777" w:rsidR="00461ECE" w:rsidRPr="006619EB" w:rsidRDefault="00461ECE" w:rsidP="00167F1C">
            <w:pPr>
              <w:pStyle w:val="Default"/>
              <w:rPr>
                <w:rFonts w:ascii="ＭＳ Ｐゴシック" w:eastAsia="ＭＳ Ｐゴシック" w:hAnsi="ＭＳ Ｐゴシック"/>
                <w:sz w:val="21"/>
                <w:szCs w:val="21"/>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B4D3AA6"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1CCFBD3C"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689B72D9"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2E91D6AF" w14:textId="77777777" w:rsidR="00461ECE" w:rsidRPr="006619EB" w:rsidRDefault="00461ECE">
            <w:pPr>
              <w:jc w:val="right"/>
              <w:rPr>
                <w:rFonts w:ascii="ＭＳ Ｐゴシック" w:hAnsi="ＭＳ Ｐゴシック"/>
                <w:color w:val="000000"/>
              </w:rPr>
            </w:pPr>
          </w:p>
        </w:tc>
      </w:tr>
      <w:tr w:rsidR="00461ECE" w14:paraId="0ABA7805" w14:textId="77777777" w:rsidTr="00342978">
        <w:trPr>
          <w:trHeight w:val="27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2935717A" w14:textId="77777777" w:rsidR="00461ECE" w:rsidRPr="006619EB" w:rsidRDefault="00461ECE" w:rsidP="00167F1C">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BPL Intentional Radiators (FCC Part 15, Subpart G) </w:t>
            </w:r>
          </w:p>
          <w:p w14:paraId="024F1CE2" w14:textId="77777777" w:rsidR="00461ECE" w:rsidRPr="006619EB" w:rsidRDefault="007B529E" w:rsidP="006619EB">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461ECE" w:rsidRPr="006619EB">
              <w:rPr>
                <w:rFonts w:ascii="ＭＳ Ｐゴシック" w:eastAsia="ＭＳ Ｐゴシック" w:hAnsi="ＭＳ Ｐゴシック"/>
                <w:sz w:val="21"/>
                <w:szCs w:val="21"/>
              </w:rPr>
              <w:t xml:space="preserve">Access Broadband Over Power Line (Access BPL) </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3013A920" w14:textId="77777777" w:rsidR="00461ECE" w:rsidRPr="006619EB" w:rsidRDefault="00461ECE" w:rsidP="00167F1C">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 C63.10-2013 </w:t>
            </w:r>
          </w:p>
          <w:p w14:paraId="7D4BEBBE" w14:textId="77777777" w:rsidR="00461ECE" w:rsidRPr="006619EB" w:rsidRDefault="00461ECE" w:rsidP="00167F1C">
            <w:pPr>
              <w:pStyle w:val="Default"/>
              <w:rPr>
                <w:rFonts w:ascii="ＭＳ Ｐゴシック" w:eastAsia="ＭＳ Ｐゴシック" w:hAnsi="ＭＳ Ｐゴシック"/>
                <w:sz w:val="21"/>
                <w:szCs w:val="21"/>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649FD4ED"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62B88081"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5B26D118"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B3065B3" w14:textId="77777777" w:rsidR="00461ECE" w:rsidRPr="006619EB" w:rsidRDefault="00461ECE">
            <w:pPr>
              <w:jc w:val="right"/>
              <w:rPr>
                <w:rFonts w:ascii="ＭＳ Ｐゴシック" w:hAnsi="ＭＳ Ｐゴシック"/>
                <w:color w:val="000000"/>
              </w:rPr>
            </w:pPr>
          </w:p>
        </w:tc>
      </w:tr>
      <w:tr w:rsidR="00461ECE" w14:paraId="5289BBFE" w14:textId="77777777" w:rsidTr="00342978">
        <w:trPr>
          <w:trHeight w:val="27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2E9B1230" w14:textId="77777777" w:rsidR="00461ECE" w:rsidRPr="006619EB" w:rsidRDefault="00461ECE" w:rsidP="00167F1C">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White Space Device Intentional Radiators (FCC Part 15, Subpart H) </w:t>
            </w:r>
          </w:p>
          <w:p w14:paraId="0E158206" w14:textId="77777777" w:rsidR="00461ECE" w:rsidRPr="006619EB" w:rsidRDefault="007B529E" w:rsidP="006619EB">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461ECE" w:rsidRPr="006619EB">
              <w:rPr>
                <w:rFonts w:ascii="ＭＳ Ｐゴシック" w:eastAsia="ＭＳ Ｐゴシック" w:hAnsi="ＭＳ Ｐゴシック"/>
                <w:sz w:val="21"/>
                <w:szCs w:val="21"/>
              </w:rPr>
              <w:t xml:space="preserve">White Space Devices </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6A29D7B3" w14:textId="77777777" w:rsidR="00461ECE" w:rsidRPr="006619EB" w:rsidRDefault="00461ECE" w:rsidP="00167F1C">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 C63.10-2013 </w:t>
            </w:r>
          </w:p>
          <w:p w14:paraId="6244DEB8" w14:textId="77777777" w:rsidR="00461ECE" w:rsidRPr="006619EB" w:rsidRDefault="00461ECE" w:rsidP="00167F1C">
            <w:pPr>
              <w:pStyle w:val="Default"/>
              <w:rPr>
                <w:rFonts w:ascii="ＭＳ Ｐゴシック" w:eastAsia="ＭＳ Ｐゴシック" w:hAnsi="ＭＳ Ｐゴシック"/>
                <w:sz w:val="21"/>
                <w:szCs w:val="21"/>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72119E1"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1BEA88D5"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F9020C8"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2746647C" w14:textId="77777777" w:rsidR="00461ECE" w:rsidRPr="006619EB" w:rsidRDefault="00461ECE">
            <w:pPr>
              <w:jc w:val="right"/>
              <w:rPr>
                <w:rFonts w:ascii="ＭＳ Ｐゴシック" w:hAnsi="ＭＳ Ｐゴシック"/>
                <w:color w:val="000000"/>
              </w:rPr>
            </w:pPr>
          </w:p>
        </w:tc>
      </w:tr>
      <w:tr w:rsidR="00461ECE" w14:paraId="791CC9DA" w14:textId="77777777" w:rsidTr="00342978">
        <w:trPr>
          <w:trHeight w:val="1620"/>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08FDDC0A" w14:textId="77777777" w:rsidR="00461ECE" w:rsidRPr="006619EB" w:rsidRDefault="00461ECE" w:rsidP="00031B82">
            <w:pPr>
              <w:spacing w:line="240" w:lineRule="exact"/>
              <w:jc w:val="left"/>
              <w:rPr>
                <w:rFonts w:ascii="ＭＳ Ｐゴシック" w:hAnsi="ＭＳ Ｐゴシック"/>
                <w:color w:val="000000"/>
              </w:rPr>
            </w:pPr>
            <w:r w:rsidRPr="006619EB">
              <w:rPr>
                <w:rFonts w:ascii="ＭＳ Ｐゴシック" w:hAnsi="ＭＳ Ｐゴシック" w:hint="eastAsia"/>
                <w:color w:val="000000"/>
              </w:rPr>
              <w:t>Commercial Mobile Services (FCC Licensed Radio Service Equipment)</w:t>
            </w:r>
            <w:r w:rsidRPr="006619EB">
              <w:rPr>
                <w:rFonts w:ascii="ＭＳ Ｐゴシック" w:hAnsi="ＭＳ Ｐゴシック" w:hint="eastAsia"/>
                <w:color w:val="000000"/>
              </w:rPr>
              <w:br/>
              <w:t>· Part 22 (cellular)</w:t>
            </w:r>
            <w:r w:rsidRPr="006619EB">
              <w:rPr>
                <w:rFonts w:ascii="ＭＳ Ｐゴシック" w:hAnsi="ＭＳ Ｐゴシック" w:hint="eastAsia"/>
                <w:color w:val="000000"/>
              </w:rPr>
              <w:br/>
              <w:t>· Part 24</w:t>
            </w:r>
            <w:r w:rsidRPr="006619EB">
              <w:rPr>
                <w:rFonts w:ascii="ＭＳ Ｐゴシック" w:hAnsi="ＭＳ Ｐゴシック" w:hint="eastAsia"/>
                <w:color w:val="000000"/>
              </w:rPr>
              <w:br/>
              <w:t>· Part</w:t>
            </w:r>
            <w:r w:rsidRPr="00A91603">
              <w:rPr>
                <w:rFonts w:ascii="ＭＳ Ｐゴシック" w:hAnsi="ＭＳ Ｐゴシック" w:hint="eastAsia"/>
              </w:rPr>
              <w:t xml:space="preserve"> 25 (</w:t>
            </w:r>
            <w:r w:rsidR="007B529E" w:rsidRPr="00A91603">
              <w:rPr>
                <w:rFonts w:ascii="ＭＳ Ｐゴシック" w:hAnsi="ＭＳ Ｐゴシック"/>
              </w:rPr>
              <w:t>below 3 GHz</w:t>
            </w:r>
            <w:r w:rsidRPr="00A91603">
              <w:rPr>
                <w:rFonts w:ascii="ＭＳ Ｐゴシック" w:hAnsi="ＭＳ Ｐゴシック" w:hint="eastAsia"/>
              </w:rPr>
              <w:t>)</w:t>
            </w:r>
            <w:r w:rsidRPr="006619EB">
              <w:rPr>
                <w:rFonts w:ascii="ＭＳ Ｐゴシック" w:hAnsi="ＭＳ Ｐゴシック" w:hint="eastAsia"/>
                <w:color w:val="000000"/>
              </w:rPr>
              <w:br/>
              <w:t>· Part 27</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0DEF1A2B" w14:textId="77777777" w:rsidR="006F045F" w:rsidRPr="00A91603" w:rsidRDefault="006F045F" w:rsidP="006F045F">
            <w:pPr>
              <w:jc w:val="left"/>
              <w:rPr>
                <w:rFonts w:ascii="ＭＳ Ｐゴシック" w:hAnsi="ＭＳ Ｐゴシック"/>
              </w:rPr>
            </w:pPr>
            <w:r w:rsidRPr="00A91603">
              <w:rPr>
                <w:rFonts w:ascii="ＭＳ Ｐゴシック" w:hAnsi="ＭＳ Ｐゴシック"/>
              </w:rPr>
              <w:t>ANSI/TIA-603-E-2016; [1] or</w:t>
            </w:r>
          </w:p>
          <w:p w14:paraId="28CB8F62" w14:textId="77777777" w:rsidR="006F045F" w:rsidRPr="00A91603" w:rsidRDefault="006F045F" w:rsidP="00701FAF">
            <w:pPr>
              <w:ind w:left="189" w:hangingChars="90" w:hanging="189"/>
              <w:jc w:val="left"/>
              <w:rPr>
                <w:rFonts w:ascii="ＭＳ Ｐゴシック" w:hAnsi="ＭＳ Ｐゴシック"/>
              </w:rPr>
            </w:pPr>
            <w:r w:rsidRPr="00A91603">
              <w:rPr>
                <w:rFonts w:ascii="ＭＳ Ｐゴシック" w:hAnsi="ＭＳ Ｐゴシック"/>
              </w:rPr>
              <w:t>ANSI/TIA-102.CAAA-E-2016; [1] or</w:t>
            </w:r>
          </w:p>
          <w:p w14:paraId="24485914" w14:textId="77777777" w:rsidR="00461ECE" w:rsidRPr="006619EB" w:rsidRDefault="006F045F" w:rsidP="000174BA">
            <w:pPr>
              <w:jc w:val="left"/>
              <w:rPr>
                <w:rFonts w:ascii="ＭＳ Ｐゴシック" w:hAnsi="ＭＳ Ｐゴシック"/>
                <w:color w:val="000000"/>
              </w:rPr>
            </w:pPr>
            <w:r w:rsidRPr="00A91603">
              <w:rPr>
                <w:rFonts w:ascii="ＭＳ Ｐゴシック" w:hAnsi="ＭＳ Ｐゴシック" w:hint="eastAsia"/>
              </w:rPr>
              <w:t>ANSI C63.26-2015</w:t>
            </w: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68E09C5"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12197235"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53F1219"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FA647CA" w14:textId="77777777" w:rsidR="00461ECE" w:rsidRPr="006619EB" w:rsidRDefault="00461ECE">
            <w:pPr>
              <w:jc w:val="right"/>
              <w:rPr>
                <w:rFonts w:ascii="ＭＳ Ｐゴシック" w:hAnsi="ＭＳ Ｐゴシック"/>
                <w:color w:val="000000"/>
              </w:rPr>
            </w:pPr>
          </w:p>
        </w:tc>
      </w:tr>
      <w:tr w:rsidR="00461ECE" w14:paraId="025B8E38" w14:textId="77777777" w:rsidTr="00342978">
        <w:trPr>
          <w:trHeight w:val="1539"/>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6078963F" w14:textId="77777777" w:rsidR="00461ECE" w:rsidRPr="006619EB" w:rsidRDefault="00461ECE" w:rsidP="00031B82">
            <w:pPr>
              <w:spacing w:line="240" w:lineRule="exact"/>
              <w:jc w:val="left"/>
              <w:rPr>
                <w:rFonts w:ascii="ＭＳ Ｐゴシック" w:hAnsi="ＭＳ Ｐゴシック"/>
                <w:color w:val="000000"/>
              </w:rPr>
            </w:pPr>
            <w:r w:rsidRPr="006619EB">
              <w:rPr>
                <w:rFonts w:ascii="ＭＳ Ｐゴシック" w:hAnsi="ＭＳ Ｐゴシック" w:hint="eastAsia"/>
                <w:color w:val="000000"/>
              </w:rPr>
              <w:lastRenderedPageBreak/>
              <w:t>General Mobile Radio Services (FCC Lic</w:t>
            </w:r>
            <w:r w:rsidR="00B741F7">
              <w:rPr>
                <w:rFonts w:ascii="ＭＳ Ｐゴシック" w:hAnsi="ＭＳ Ｐゴシック" w:hint="eastAsia"/>
                <w:color w:val="000000"/>
              </w:rPr>
              <w:t>ensed Radio Service Equipment)</w:t>
            </w:r>
            <w:r w:rsidRPr="006619EB">
              <w:rPr>
                <w:rFonts w:ascii="ＭＳ Ｐゴシック" w:hAnsi="ＭＳ Ｐゴシック" w:hint="eastAsia"/>
                <w:color w:val="000000"/>
              </w:rPr>
              <w:br/>
              <w:t>· Part 22 (non-cellular)</w:t>
            </w:r>
            <w:r w:rsidRPr="006619EB">
              <w:rPr>
                <w:rFonts w:ascii="ＭＳ Ｐゴシック" w:hAnsi="ＭＳ Ｐゴシック" w:hint="eastAsia"/>
                <w:color w:val="000000"/>
              </w:rPr>
              <w:br/>
              <w:t>· Part 90</w:t>
            </w:r>
            <w:r w:rsidRPr="00031B82">
              <w:rPr>
                <w:rFonts w:ascii="ＭＳ Ｐゴシック" w:hAnsi="ＭＳ Ｐゴシック" w:hint="eastAsia"/>
              </w:rPr>
              <w:t xml:space="preserve"> (</w:t>
            </w:r>
            <w:r w:rsidR="006F045F" w:rsidRPr="00031B82">
              <w:rPr>
                <w:rFonts w:ascii="ＭＳ Ｐゴシック" w:hAnsi="ＭＳ Ｐゴシック"/>
              </w:rPr>
              <w:t>below 3 GHz</w:t>
            </w:r>
            <w:r w:rsidR="006F045F" w:rsidRPr="00031B82">
              <w:rPr>
                <w:rFonts w:ascii="ＭＳ Ｐゴシック" w:hAnsi="ＭＳ Ｐゴシック" w:hint="eastAsia"/>
              </w:rPr>
              <w:t xml:space="preserve"> </w:t>
            </w:r>
            <w:r w:rsidRPr="00031B82">
              <w:rPr>
                <w:rFonts w:ascii="ＭＳ Ｐゴシック" w:hAnsi="ＭＳ Ｐゴシック" w:hint="eastAsia"/>
              </w:rPr>
              <w:t>)</w:t>
            </w:r>
            <w:r w:rsidRPr="00031B82">
              <w:rPr>
                <w:rFonts w:ascii="ＭＳ Ｐゴシック" w:hAnsi="ＭＳ Ｐゴシック" w:hint="eastAsia"/>
              </w:rPr>
              <w:br/>
              <w:t>· Part 95</w:t>
            </w:r>
            <w:r w:rsidR="000D5BE2" w:rsidRPr="00031B82">
              <w:t xml:space="preserve"> </w:t>
            </w:r>
            <w:r w:rsidR="000D5BE2" w:rsidRPr="00031B82">
              <w:rPr>
                <w:rFonts w:ascii="ＭＳ Ｐゴシック" w:hAnsi="ＭＳ Ｐゴシック"/>
              </w:rPr>
              <w:t>(below 3 GHz)[3]</w:t>
            </w:r>
            <w:r w:rsidRPr="00031B82">
              <w:rPr>
                <w:rFonts w:ascii="ＭＳ Ｐゴシック" w:hAnsi="ＭＳ Ｐゴシック" w:hint="eastAsia"/>
              </w:rPr>
              <w:br/>
              <w:t>· Part 97</w:t>
            </w:r>
            <w:r w:rsidR="000D5BE2" w:rsidRPr="00031B82">
              <w:rPr>
                <w:rFonts w:ascii="ＭＳ Ｐゴシック" w:hAnsi="ＭＳ Ｐゴシック" w:hint="eastAsia"/>
              </w:rPr>
              <w:t xml:space="preserve"> (</w:t>
            </w:r>
            <w:r w:rsidR="000D5BE2" w:rsidRPr="00031B82">
              <w:rPr>
                <w:rFonts w:ascii="ＭＳ Ｐゴシック" w:hAnsi="ＭＳ Ｐゴシック"/>
              </w:rPr>
              <w:t>below 3 GHz</w:t>
            </w:r>
            <w:r w:rsidR="000D5BE2" w:rsidRPr="00031B82">
              <w:rPr>
                <w:rFonts w:ascii="ＭＳ Ｐゴシック" w:hAnsi="ＭＳ Ｐゴシック" w:hint="eastAsia"/>
              </w:rPr>
              <w:t xml:space="preserve"> )</w:t>
            </w:r>
            <w:r w:rsidRPr="00031B82">
              <w:rPr>
                <w:rFonts w:ascii="ＭＳ Ｐゴシック" w:hAnsi="ＭＳ Ｐゴシック" w:hint="eastAsia"/>
              </w:rPr>
              <w:br/>
            </w:r>
            <w:r w:rsidRPr="006619EB">
              <w:rPr>
                <w:rFonts w:ascii="ＭＳ Ｐゴシック" w:hAnsi="ＭＳ Ｐゴシック" w:hint="eastAsia"/>
                <w:color w:val="000000"/>
              </w:rPr>
              <w:t>· Par</w:t>
            </w:r>
            <w:r w:rsidRPr="00A91603">
              <w:rPr>
                <w:rFonts w:ascii="ＭＳ Ｐゴシック" w:hAnsi="ＭＳ Ｐゴシック" w:hint="eastAsia"/>
              </w:rPr>
              <w:t>t 101 (</w:t>
            </w:r>
            <w:r w:rsidR="000D5BE2" w:rsidRPr="00A91603">
              <w:rPr>
                <w:rFonts w:ascii="ＭＳ Ｐゴシック" w:hAnsi="ＭＳ Ｐゴシック"/>
              </w:rPr>
              <w:t>below 3 GHz</w:t>
            </w:r>
            <w:r w:rsidRPr="00A91603">
              <w:rPr>
                <w:rFonts w:ascii="ＭＳ Ｐゴシック" w:hAnsi="ＭＳ Ｐゴシック" w:hint="eastAsia"/>
              </w:rPr>
              <w:t>)</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0D28D804" w14:textId="77777777" w:rsidR="000D5BE2" w:rsidRPr="00A91603" w:rsidRDefault="000D5BE2" w:rsidP="000D5BE2">
            <w:pPr>
              <w:jc w:val="left"/>
              <w:rPr>
                <w:rFonts w:ascii="ＭＳ Ｐゴシック" w:hAnsi="ＭＳ Ｐゴシック"/>
              </w:rPr>
            </w:pPr>
            <w:r w:rsidRPr="00A91603">
              <w:rPr>
                <w:rFonts w:ascii="ＭＳ Ｐゴシック" w:hAnsi="ＭＳ Ｐゴシック"/>
              </w:rPr>
              <w:t>ANSI/TIA-603-E-2016; [1] or</w:t>
            </w:r>
          </w:p>
          <w:p w14:paraId="72F3BEDB" w14:textId="77777777" w:rsidR="000D5BE2" w:rsidRPr="00A91603" w:rsidRDefault="000D5BE2" w:rsidP="00946A9F">
            <w:pPr>
              <w:ind w:left="189" w:hangingChars="90" w:hanging="189"/>
              <w:jc w:val="left"/>
              <w:rPr>
                <w:rFonts w:ascii="ＭＳ Ｐゴシック" w:hAnsi="ＭＳ Ｐゴシック"/>
              </w:rPr>
            </w:pPr>
            <w:r w:rsidRPr="00A91603">
              <w:rPr>
                <w:rFonts w:ascii="ＭＳ Ｐゴシック" w:hAnsi="ＭＳ Ｐゴシック"/>
              </w:rPr>
              <w:t>ANSI/TIA-102.CAAA-E-2016; [1] or</w:t>
            </w:r>
          </w:p>
          <w:p w14:paraId="0BEDDA9D" w14:textId="77777777" w:rsidR="00461ECE" w:rsidRPr="006619EB" w:rsidRDefault="000D5BE2" w:rsidP="000D5BE2">
            <w:pPr>
              <w:jc w:val="left"/>
              <w:rPr>
                <w:rFonts w:ascii="ＭＳ Ｐゴシック" w:hAnsi="ＭＳ Ｐゴシック"/>
                <w:color w:val="000000"/>
              </w:rPr>
            </w:pPr>
            <w:r w:rsidRPr="00A91603">
              <w:rPr>
                <w:rFonts w:ascii="ＭＳ Ｐゴシック" w:hAnsi="ＭＳ Ｐゴシック" w:hint="eastAsia"/>
              </w:rPr>
              <w:t>ANSI C63.26-2015</w:t>
            </w: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EE860AC"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3D183B1"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7B61C01"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05D3233" w14:textId="77777777" w:rsidR="00461ECE" w:rsidRPr="006619EB" w:rsidRDefault="00461ECE">
            <w:pPr>
              <w:jc w:val="right"/>
              <w:rPr>
                <w:rFonts w:ascii="ＭＳ Ｐゴシック" w:hAnsi="ＭＳ Ｐゴシック"/>
                <w:color w:val="000000"/>
              </w:rPr>
            </w:pPr>
          </w:p>
        </w:tc>
      </w:tr>
      <w:tr w:rsidR="00461ECE" w14:paraId="33539ACE" w14:textId="77777777" w:rsidTr="00342978">
        <w:trPr>
          <w:trHeight w:val="1106"/>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0D6BBCF5" w14:textId="77777777" w:rsidR="00461ECE" w:rsidRPr="006619EB" w:rsidRDefault="00461ECE">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Citizens Broadband Radio Services (FCC Licensed Radio Service Equipment) </w:t>
            </w:r>
          </w:p>
          <w:p w14:paraId="793CC8D6" w14:textId="77777777" w:rsidR="00461ECE" w:rsidRPr="006619EB" w:rsidRDefault="000D5BE2" w:rsidP="00342978">
            <w:pPr>
              <w:pStyle w:val="Default"/>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461ECE" w:rsidRPr="006619EB">
              <w:rPr>
                <w:rFonts w:ascii="ＭＳ Ｐゴシック" w:eastAsia="ＭＳ Ｐゴシック" w:hAnsi="ＭＳ Ｐゴシック"/>
                <w:sz w:val="21"/>
                <w:szCs w:val="21"/>
              </w:rPr>
              <w:t xml:space="preserve">Part 96 </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2BF1B5AD" w14:textId="77777777" w:rsidR="00461ECE" w:rsidRPr="006619EB" w:rsidRDefault="00461ECE">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ANSI/TIA-603-E-2016; [1] or </w:t>
            </w:r>
          </w:p>
          <w:p w14:paraId="72D3721B" w14:textId="77777777" w:rsidR="00461ECE" w:rsidRPr="006619EB" w:rsidRDefault="00461ECE" w:rsidP="00946A9F">
            <w:pPr>
              <w:pStyle w:val="Default"/>
              <w:ind w:left="189" w:hangingChars="90" w:hanging="189"/>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ANSI/TIA-102.CAAA-E-2016; [1] or </w:t>
            </w:r>
          </w:p>
          <w:p w14:paraId="462FE5B3" w14:textId="42E4FB5A" w:rsidR="00461ECE" w:rsidRPr="006619EB" w:rsidRDefault="00461ECE" w:rsidP="00031B82">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 C63.26-2015 </w:t>
            </w: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68BE762"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0386EE6"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0032E4C"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1513CAB1" w14:textId="77777777" w:rsidR="00461ECE" w:rsidRPr="006619EB" w:rsidRDefault="00461ECE">
            <w:pPr>
              <w:jc w:val="right"/>
              <w:rPr>
                <w:rFonts w:ascii="ＭＳ Ｐゴシック" w:hAnsi="ＭＳ Ｐゴシック"/>
                <w:color w:val="000000"/>
              </w:rPr>
            </w:pPr>
          </w:p>
        </w:tc>
      </w:tr>
      <w:tr w:rsidR="00461ECE" w14:paraId="541FF71D" w14:textId="77777777" w:rsidTr="00342978">
        <w:trPr>
          <w:trHeight w:val="1095"/>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2966A279" w14:textId="77777777" w:rsidR="00461ECE" w:rsidRPr="006619EB" w:rsidRDefault="00461ECE" w:rsidP="00342978">
            <w:pPr>
              <w:spacing w:line="240" w:lineRule="exact"/>
              <w:jc w:val="left"/>
              <w:rPr>
                <w:rFonts w:ascii="ＭＳ Ｐゴシック" w:hAnsi="ＭＳ Ｐゴシック"/>
                <w:color w:val="000000"/>
              </w:rPr>
            </w:pPr>
            <w:r w:rsidRPr="006619EB">
              <w:rPr>
                <w:rFonts w:ascii="ＭＳ Ｐゴシック" w:hAnsi="ＭＳ Ｐゴシック" w:hint="eastAsia"/>
                <w:color w:val="000000"/>
              </w:rPr>
              <w:t>Maritime and Aviation Radio Services (FCC Licensed Radio Service Equipment)</w:t>
            </w:r>
            <w:r w:rsidRPr="006619EB">
              <w:rPr>
                <w:rFonts w:ascii="ＭＳ Ｐゴシック" w:hAnsi="ＭＳ Ｐゴシック" w:hint="eastAsia"/>
                <w:color w:val="000000"/>
              </w:rPr>
              <w:br/>
              <w:t>· Part 80</w:t>
            </w:r>
            <w:r w:rsidRPr="006619EB">
              <w:rPr>
                <w:rFonts w:ascii="ＭＳ Ｐゴシック" w:hAnsi="ＭＳ Ｐゴシック" w:hint="eastAsia"/>
                <w:color w:val="000000"/>
              </w:rPr>
              <w:br/>
              <w:t>· Part 87</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6173BEAE" w14:textId="77777777" w:rsidR="00953EF5" w:rsidRPr="00A91603" w:rsidRDefault="00953EF5" w:rsidP="00953EF5">
            <w:pPr>
              <w:jc w:val="left"/>
              <w:rPr>
                <w:rFonts w:ascii="ＭＳ Ｐゴシック" w:hAnsi="ＭＳ Ｐゴシック"/>
              </w:rPr>
            </w:pPr>
            <w:r w:rsidRPr="00A91603">
              <w:rPr>
                <w:rFonts w:ascii="ＭＳ Ｐゴシック" w:hAnsi="ＭＳ Ｐゴシック"/>
              </w:rPr>
              <w:t>ANSI/TIA-603-E-2016; [1] or</w:t>
            </w:r>
          </w:p>
          <w:p w14:paraId="3066FCAE" w14:textId="77777777" w:rsidR="00953EF5" w:rsidRDefault="00953EF5" w:rsidP="00953EF5">
            <w:pPr>
              <w:jc w:val="left"/>
              <w:rPr>
                <w:rFonts w:ascii="ＭＳ Ｐゴシック" w:hAnsi="ＭＳ Ｐゴシック"/>
                <w:color w:val="000000"/>
              </w:rPr>
            </w:pPr>
            <w:r w:rsidRPr="00953EF5">
              <w:rPr>
                <w:rFonts w:ascii="ＭＳ Ｐゴシック" w:hAnsi="ＭＳ Ｐゴシック"/>
                <w:color w:val="000000"/>
              </w:rPr>
              <w:t>ANSI C63.26-2015</w:t>
            </w:r>
          </w:p>
          <w:p w14:paraId="79F86ABC" w14:textId="77777777" w:rsidR="00461ECE" w:rsidRPr="006619EB" w:rsidRDefault="00461ECE" w:rsidP="000174BA">
            <w:pPr>
              <w:jc w:val="lef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A23B218"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5674300A"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263C9FF" w14:textId="77777777" w:rsidR="00461ECE" w:rsidRPr="006619EB" w:rsidRDefault="00461ECE">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94917BA" w14:textId="77777777" w:rsidR="00461ECE" w:rsidRPr="006619EB" w:rsidRDefault="00461ECE">
            <w:pPr>
              <w:jc w:val="right"/>
              <w:rPr>
                <w:rFonts w:ascii="ＭＳ Ｐゴシック" w:hAnsi="ＭＳ Ｐゴシック"/>
                <w:color w:val="000000"/>
              </w:rPr>
            </w:pPr>
          </w:p>
        </w:tc>
      </w:tr>
      <w:tr w:rsidR="006619EB" w14:paraId="15A3FDEE" w14:textId="77777777" w:rsidTr="00342978">
        <w:trPr>
          <w:trHeight w:val="1095"/>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6957E461" w14:textId="77777777" w:rsidR="006619EB" w:rsidRPr="00946A9F" w:rsidRDefault="006619EB">
            <w:pPr>
              <w:pStyle w:val="Default"/>
              <w:rPr>
                <w:rFonts w:ascii="ＭＳ Ｐゴシック" w:eastAsia="ＭＳ Ｐゴシック" w:hAnsi="ＭＳ Ｐゴシック"/>
                <w:color w:val="auto"/>
                <w:sz w:val="21"/>
                <w:szCs w:val="21"/>
              </w:rPr>
            </w:pPr>
            <w:r w:rsidRPr="006619EB">
              <w:rPr>
                <w:rFonts w:ascii="ＭＳ Ｐゴシック" w:eastAsia="ＭＳ Ｐゴシック" w:hAnsi="ＭＳ Ｐゴシック"/>
                <w:bCs/>
                <w:sz w:val="21"/>
                <w:szCs w:val="21"/>
              </w:rPr>
              <w:t>Microwave and Millimeter Wave Bands Radio Services (FCC Licensed Radio Service Equipm</w:t>
            </w:r>
            <w:r w:rsidRPr="00A91603">
              <w:rPr>
                <w:rFonts w:ascii="ＭＳ Ｐゴシック" w:eastAsia="ＭＳ Ｐゴシック" w:hAnsi="ＭＳ Ｐゴシック"/>
                <w:bCs/>
                <w:color w:val="auto"/>
                <w:sz w:val="21"/>
                <w:szCs w:val="21"/>
              </w:rPr>
              <w:t>e</w:t>
            </w:r>
            <w:r w:rsidRPr="00946A9F">
              <w:rPr>
                <w:rFonts w:ascii="ＭＳ Ｐゴシック" w:eastAsia="ＭＳ Ｐゴシック" w:hAnsi="ＭＳ Ｐゴシック"/>
                <w:bCs/>
                <w:color w:val="auto"/>
                <w:sz w:val="21"/>
                <w:szCs w:val="21"/>
              </w:rPr>
              <w:t>nt)</w:t>
            </w:r>
            <w:r w:rsidR="00863B70" w:rsidRPr="00946A9F">
              <w:rPr>
                <w:rFonts w:ascii="ＭＳ Ｐゴシック" w:eastAsia="ＭＳ Ｐゴシック" w:hAnsi="ＭＳ Ｐゴシック" w:hint="eastAsia"/>
                <w:bCs/>
                <w:color w:val="auto"/>
                <w:sz w:val="21"/>
                <w:szCs w:val="21"/>
                <w:vertAlign w:val="superscript"/>
              </w:rPr>
              <w:t>18</w:t>
            </w:r>
            <w:r w:rsidRPr="00946A9F">
              <w:rPr>
                <w:rFonts w:ascii="ＭＳ Ｐゴシック" w:eastAsia="ＭＳ Ｐゴシック" w:hAnsi="ＭＳ Ｐゴシック"/>
                <w:bCs/>
                <w:color w:val="auto"/>
                <w:sz w:val="21"/>
                <w:szCs w:val="21"/>
              </w:rPr>
              <w:t xml:space="preserve"> </w:t>
            </w:r>
            <w:r w:rsidR="00953EF5" w:rsidRPr="00946A9F">
              <w:rPr>
                <w:rFonts w:ascii="ＭＳ Ｐゴシック" w:eastAsia="ＭＳ Ｐゴシック" w:hAnsi="ＭＳ Ｐゴシック"/>
                <w:bCs/>
                <w:color w:val="auto"/>
                <w:sz w:val="21"/>
                <w:szCs w:val="21"/>
              </w:rPr>
              <w:t>[3]</w:t>
            </w:r>
          </w:p>
          <w:p w14:paraId="6BE15D10" w14:textId="77777777" w:rsidR="006619EB" w:rsidRPr="00946A9F" w:rsidRDefault="00953EF5" w:rsidP="00342978">
            <w:pPr>
              <w:pStyle w:val="Default"/>
              <w:spacing w:line="240" w:lineRule="exact"/>
              <w:rPr>
                <w:rFonts w:ascii="ＭＳ Ｐゴシック" w:eastAsia="ＭＳ Ｐゴシック" w:hAnsi="ＭＳ Ｐゴシック"/>
                <w:color w:val="auto"/>
                <w:sz w:val="21"/>
                <w:szCs w:val="21"/>
              </w:rPr>
            </w:pPr>
            <w:r w:rsidRPr="00946A9F">
              <w:rPr>
                <w:rFonts w:ascii="ＭＳ Ｐゴシック" w:eastAsia="ＭＳ Ｐゴシック" w:hAnsi="ＭＳ Ｐゴシック" w:hint="eastAsia"/>
                <w:color w:val="auto"/>
                <w:sz w:val="21"/>
                <w:szCs w:val="21"/>
              </w:rPr>
              <w:t xml:space="preserve">･ </w:t>
            </w:r>
            <w:r w:rsidR="006619EB" w:rsidRPr="00946A9F">
              <w:rPr>
                <w:rFonts w:ascii="ＭＳ Ｐゴシック" w:eastAsia="ＭＳ Ｐゴシック" w:hAnsi="ＭＳ Ｐゴシック"/>
                <w:color w:val="auto"/>
                <w:sz w:val="21"/>
                <w:szCs w:val="21"/>
              </w:rPr>
              <w:t xml:space="preserve">Part 25 </w:t>
            </w:r>
          </w:p>
          <w:p w14:paraId="3FBC2A5F" w14:textId="77777777" w:rsidR="006619EB" w:rsidRPr="00946A9F" w:rsidRDefault="00953EF5" w:rsidP="00342978">
            <w:pPr>
              <w:pStyle w:val="Default"/>
              <w:spacing w:line="240" w:lineRule="exact"/>
              <w:rPr>
                <w:rFonts w:ascii="ＭＳ Ｐゴシック" w:eastAsia="ＭＳ Ｐゴシック" w:hAnsi="ＭＳ Ｐゴシック"/>
                <w:color w:val="auto"/>
                <w:sz w:val="21"/>
                <w:szCs w:val="21"/>
              </w:rPr>
            </w:pPr>
            <w:r w:rsidRPr="00946A9F">
              <w:rPr>
                <w:rFonts w:ascii="ＭＳ Ｐゴシック" w:eastAsia="ＭＳ Ｐゴシック" w:hAnsi="ＭＳ Ｐゴシック" w:hint="eastAsia"/>
                <w:color w:val="auto"/>
                <w:sz w:val="21"/>
                <w:szCs w:val="21"/>
              </w:rPr>
              <w:t>･</w:t>
            </w:r>
            <w:r w:rsidR="006619EB" w:rsidRPr="00946A9F">
              <w:rPr>
                <w:rFonts w:ascii="ＭＳ Ｐゴシック" w:eastAsia="ＭＳ Ｐゴシック" w:hAnsi="ＭＳ Ｐゴシック"/>
                <w:color w:val="auto"/>
                <w:sz w:val="21"/>
                <w:szCs w:val="21"/>
              </w:rPr>
              <w:t xml:space="preserve"> Part 30 </w:t>
            </w:r>
          </w:p>
          <w:p w14:paraId="30B24638" w14:textId="77777777" w:rsidR="006619EB" w:rsidRPr="00946A9F" w:rsidRDefault="00953EF5" w:rsidP="00342978">
            <w:pPr>
              <w:pStyle w:val="Default"/>
              <w:spacing w:line="240" w:lineRule="exact"/>
              <w:rPr>
                <w:rFonts w:ascii="ＭＳ Ｐゴシック" w:eastAsia="ＭＳ Ｐゴシック" w:hAnsi="ＭＳ Ｐゴシック"/>
                <w:color w:val="auto"/>
                <w:sz w:val="21"/>
                <w:szCs w:val="21"/>
              </w:rPr>
            </w:pPr>
            <w:r w:rsidRPr="00946A9F">
              <w:rPr>
                <w:rFonts w:ascii="ＭＳ Ｐゴシック" w:eastAsia="ＭＳ Ｐゴシック" w:hAnsi="ＭＳ Ｐゴシック" w:hint="eastAsia"/>
                <w:color w:val="auto"/>
                <w:sz w:val="21"/>
                <w:szCs w:val="21"/>
              </w:rPr>
              <w:t>･</w:t>
            </w:r>
            <w:r w:rsidR="006619EB" w:rsidRPr="00946A9F">
              <w:rPr>
                <w:rFonts w:ascii="ＭＳ Ｐゴシック" w:eastAsia="ＭＳ Ｐゴシック" w:hAnsi="ＭＳ Ｐゴシック"/>
                <w:color w:val="auto"/>
                <w:sz w:val="21"/>
                <w:szCs w:val="21"/>
              </w:rPr>
              <w:t xml:space="preserve"> Part 74 </w:t>
            </w:r>
          </w:p>
          <w:p w14:paraId="423CA5AA" w14:textId="77777777" w:rsidR="006619EB" w:rsidRPr="00946A9F" w:rsidRDefault="00953EF5" w:rsidP="00342978">
            <w:pPr>
              <w:pStyle w:val="Default"/>
              <w:spacing w:line="240" w:lineRule="exact"/>
              <w:rPr>
                <w:rFonts w:ascii="ＭＳ Ｐゴシック" w:eastAsia="ＭＳ Ｐゴシック" w:hAnsi="ＭＳ Ｐゴシック"/>
                <w:color w:val="auto"/>
                <w:sz w:val="21"/>
                <w:szCs w:val="21"/>
              </w:rPr>
            </w:pPr>
            <w:r w:rsidRPr="00946A9F">
              <w:rPr>
                <w:rFonts w:ascii="ＭＳ Ｐゴシック" w:eastAsia="ＭＳ Ｐゴシック" w:hAnsi="ＭＳ Ｐゴシック" w:hint="eastAsia"/>
                <w:color w:val="auto"/>
                <w:sz w:val="21"/>
                <w:szCs w:val="21"/>
              </w:rPr>
              <w:t>･</w:t>
            </w:r>
            <w:r w:rsidR="006619EB" w:rsidRPr="00946A9F">
              <w:rPr>
                <w:rFonts w:ascii="ＭＳ Ｐゴシック" w:eastAsia="ＭＳ Ｐゴシック" w:hAnsi="ＭＳ Ｐゴシック"/>
                <w:color w:val="auto"/>
                <w:sz w:val="21"/>
                <w:szCs w:val="21"/>
              </w:rPr>
              <w:t xml:space="preserve"> Part 90 (</w:t>
            </w:r>
            <w:r w:rsidRPr="00946A9F">
              <w:rPr>
                <w:rFonts w:ascii="ＭＳ Ｐゴシック" w:eastAsia="ＭＳ Ｐゴシック" w:hAnsi="ＭＳ Ｐゴシック"/>
                <w:color w:val="auto"/>
                <w:sz w:val="21"/>
                <w:szCs w:val="21"/>
              </w:rPr>
              <w:t>above 3 GHz</w:t>
            </w:r>
            <w:r w:rsidR="006619EB" w:rsidRPr="00946A9F">
              <w:rPr>
                <w:rFonts w:ascii="ＭＳ Ｐゴシック" w:eastAsia="ＭＳ Ｐゴシック" w:hAnsi="ＭＳ Ｐゴシック"/>
                <w:color w:val="auto"/>
                <w:sz w:val="21"/>
                <w:szCs w:val="21"/>
              </w:rPr>
              <w:t xml:space="preserve">) </w:t>
            </w:r>
          </w:p>
          <w:p w14:paraId="2BAC4400" w14:textId="77777777" w:rsidR="006619EB" w:rsidRPr="00946A9F" w:rsidRDefault="00953EF5" w:rsidP="00342978">
            <w:pPr>
              <w:pStyle w:val="Default"/>
              <w:spacing w:line="240" w:lineRule="exact"/>
              <w:rPr>
                <w:rFonts w:ascii="ＭＳ Ｐゴシック" w:eastAsia="ＭＳ Ｐゴシック" w:hAnsi="ＭＳ Ｐゴシック"/>
                <w:color w:val="auto"/>
                <w:sz w:val="21"/>
                <w:szCs w:val="21"/>
              </w:rPr>
            </w:pPr>
            <w:r w:rsidRPr="00946A9F">
              <w:rPr>
                <w:rFonts w:ascii="ＭＳ Ｐゴシック" w:eastAsia="ＭＳ Ｐゴシック" w:hAnsi="ＭＳ Ｐゴシック" w:hint="eastAsia"/>
                <w:color w:val="auto"/>
                <w:sz w:val="21"/>
                <w:szCs w:val="21"/>
              </w:rPr>
              <w:t>･</w:t>
            </w:r>
            <w:r w:rsidR="006619EB" w:rsidRPr="00946A9F">
              <w:rPr>
                <w:rFonts w:ascii="ＭＳ Ｐゴシック" w:eastAsia="ＭＳ Ｐゴシック" w:hAnsi="ＭＳ Ｐゴシック"/>
                <w:color w:val="auto"/>
                <w:sz w:val="21"/>
                <w:szCs w:val="21"/>
              </w:rPr>
              <w:t xml:space="preserve"> Part 95 (</w:t>
            </w:r>
            <w:r w:rsidRPr="00946A9F">
              <w:rPr>
                <w:rFonts w:ascii="ＭＳ Ｐゴシック" w:eastAsia="ＭＳ Ｐゴシック" w:hAnsi="ＭＳ Ｐゴシック"/>
                <w:color w:val="auto"/>
                <w:sz w:val="21"/>
                <w:szCs w:val="21"/>
              </w:rPr>
              <w:t>above 3 GHz</w:t>
            </w:r>
            <w:r w:rsidR="006619EB" w:rsidRPr="00946A9F">
              <w:rPr>
                <w:rFonts w:ascii="ＭＳ Ｐゴシック" w:eastAsia="ＭＳ Ｐゴシック" w:hAnsi="ＭＳ Ｐゴシック"/>
                <w:color w:val="auto"/>
                <w:sz w:val="21"/>
                <w:szCs w:val="21"/>
              </w:rPr>
              <w:t xml:space="preserve">) </w:t>
            </w:r>
          </w:p>
          <w:p w14:paraId="0AB9744B" w14:textId="77777777" w:rsidR="00953EF5" w:rsidRPr="00946A9F" w:rsidRDefault="00953EF5" w:rsidP="00342978">
            <w:pPr>
              <w:pStyle w:val="Default"/>
              <w:spacing w:line="240" w:lineRule="exact"/>
              <w:rPr>
                <w:rFonts w:ascii="ＭＳ Ｐゴシック" w:eastAsia="ＭＳ Ｐゴシック" w:hAnsi="ＭＳ Ｐゴシック"/>
                <w:color w:val="auto"/>
                <w:sz w:val="21"/>
                <w:szCs w:val="21"/>
              </w:rPr>
            </w:pPr>
            <w:r w:rsidRPr="00946A9F">
              <w:rPr>
                <w:rFonts w:ascii="ＭＳ Ｐゴシック" w:eastAsia="ＭＳ Ｐゴシック" w:hAnsi="ＭＳ Ｐゴシック" w:hint="eastAsia"/>
                <w:color w:val="auto"/>
                <w:sz w:val="21"/>
                <w:szCs w:val="21"/>
              </w:rPr>
              <w:t>･</w:t>
            </w:r>
            <w:r w:rsidRPr="00946A9F">
              <w:rPr>
                <w:rFonts w:ascii="ＭＳ Ｐゴシック" w:eastAsia="ＭＳ Ｐゴシック" w:hAnsi="ＭＳ Ｐゴシック"/>
                <w:color w:val="auto"/>
                <w:sz w:val="21"/>
                <w:szCs w:val="21"/>
              </w:rPr>
              <w:t xml:space="preserve"> Part 9</w:t>
            </w:r>
            <w:r w:rsidRPr="00946A9F">
              <w:rPr>
                <w:rFonts w:ascii="ＭＳ Ｐゴシック" w:eastAsia="ＭＳ Ｐゴシック" w:hAnsi="ＭＳ Ｐゴシック" w:hint="eastAsia"/>
                <w:color w:val="auto"/>
                <w:sz w:val="21"/>
                <w:szCs w:val="21"/>
              </w:rPr>
              <w:t>7</w:t>
            </w:r>
            <w:r w:rsidRPr="00946A9F">
              <w:rPr>
                <w:rFonts w:ascii="ＭＳ Ｐゴシック" w:eastAsia="ＭＳ Ｐゴシック" w:hAnsi="ＭＳ Ｐゴシック"/>
                <w:color w:val="auto"/>
                <w:sz w:val="21"/>
                <w:szCs w:val="21"/>
              </w:rPr>
              <w:t xml:space="preserve"> (above 3 GHz)</w:t>
            </w:r>
          </w:p>
          <w:p w14:paraId="07AF0EE2" w14:textId="77777777" w:rsidR="006619EB" w:rsidRPr="006619EB" w:rsidRDefault="00953EF5" w:rsidP="00342978">
            <w:pPr>
              <w:pStyle w:val="Default"/>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19EB" w:rsidRPr="006619EB">
              <w:rPr>
                <w:rFonts w:ascii="ＭＳ Ｐゴシック" w:eastAsia="ＭＳ Ｐゴシック" w:hAnsi="ＭＳ Ｐゴシック"/>
                <w:sz w:val="21"/>
                <w:szCs w:val="21"/>
              </w:rPr>
              <w:t xml:space="preserve"> Part 101</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61DA98F7"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ANSI/TIA-603-E-2016; [1] or </w:t>
            </w:r>
          </w:p>
          <w:p w14:paraId="1A2B23A9" w14:textId="77777777" w:rsidR="006619EB" w:rsidRPr="006619EB" w:rsidRDefault="006619EB" w:rsidP="00946A9F">
            <w:pPr>
              <w:pStyle w:val="Default"/>
              <w:ind w:left="189" w:hangingChars="90" w:hanging="189"/>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ANSI/TIA-102.CAAA-E-2016; [1] or </w:t>
            </w:r>
          </w:p>
          <w:p w14:paraId="0403BB67"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 C63.26-2015 </w:t>
            </w:r>
          </w:p>
          <w:p w14:paraId="1E3909F4" w14:textId="77777777" w:rsidR="006619EB" w:rsidRPr="006619EB" w:rsidRDefault="006619EB">
            <w:pPr>
              <w:pStyle w:val="Default"/>
              <w:rPr>
                <w:rFonts w:ascii="ＭＳ Ｐゴシック" w:eastAsia="ＭＳ Ｐゴシック" w:hAnsi="ＭＳ Ｐゴシック"/>
                <w:sz w:val="21"/>
                <w:szCs w:val="21"/>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D3F9D93"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5C8CD243"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216B4795"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2BA5E08B" w14:textId="77777777" w:rsidR="006619EB" w:rsidRPr="006619EB" w:rsidRDefault="006619EB">
            <w:pPr>
              <w:jc w:val="right"/>
              <w:rPr>
                <w:rFonts w:ascii="ＭＳ Ｐゴシック" w:hAnsi="ＭＳ Ｐゴシック"/>
                <w:color w:val="000000"/>
              </w:rPr>
            </w:pPr>
          </w:p>
        </w:tc>
      </w:tr>
      <w:tr w:rsidR="006619EB" w14:paraId="794DD828" w14:textId="77777777" w:rsidTr="00342978">
        <w:trPr>
          <w:trHeight w:val="1095"/>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4F51473C"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Broadcast Radio Services (FCC Licensed Radio Service Equipment) </w:t>
            </w:r>
          </w:p>
          <w:p w14:paraId="7C26B657" w14:textId="77777777" w:rsidR="006619EB" w:rsidRPr="006619EB" w:rsidRDefault="00863B70" w:rsidP="00342978">
            <w:pPr>
              <w:pStyle w:val="Default"/>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19EB" w:rsidRPr="006619EB">
              <w:rPr>
                <w:rFonts w:ascii="ＭＳ Ｐゴシック" w:eastAsia="ＭＳ Ｐゴシック" w:hAnsi="ＭＳ Ｐゴシック"/>
                <w:sz w:val="21"/>
                <w:szCs w:val="21"/>
              </w:rPr>
              <w:t xml:space="preserve"> Part 73 </w:t>
            </w:r>
          </w:p>
          <w:p w14:paraId="742E16DF" w14:textId="77777777" w:rsidR="006619EB" w:rsidRPr="006619EB" w:rsidRDefault="00863B70" w:rsidP="00342978">
            <w:pPr>
              <w:pStyle w:val="Default"/>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19EB" w:rsidRPr="006619EB">
              <w:rPr>
                <w:rFonts w:ascii="ＭＳ Ｐゴシック" w:eastAsia="ＭＳ Ｐゴシック" w:hAnsi="ＭＳ Ｐゴシック"/>
                <w:sz w:val="21"/>
                <w:szCs w:val="21"/>
              </w:rPr>
              <w:t xml:space="preserve"> Part 74 (below 3 GHz) </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27305F2D"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ANSI/TIA-603-E-2016; [1] or </w:t>
            </w:r>
          </w:p>
          <w:p w14:paraId="05C00610" w14:textId="77777777" w:rsidR="006619EB" w:rsidRPr="006619EB" w:rsidRDefault="006619EB" w:rsidP="00946A9F">
            <w:pPr>
              <w:pStyle w:val="Default"/>
              <w:ind w:left="189" w:hangingChars="90" w:hanging="189"/>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ANSI/TIA-102.CAAA-E-2016; [1] or </w:t>
            </w:r>
          </w:p>
          <w:p w14:paraId="32B53695" w14:textId="77777777" w:rsidR="006619EB" w:rsidRPr="006619EB" w:rsidRDefault="006619EB" w:rsidP="00863B70">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ANSI C63.26-2015 </w:t>
            </w: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6CFBB064"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EAAEA5C"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DED92FA"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2E2C6C92" w14:textId="77777777" w:rsidR="006619EB" w:rsidRPr="006619EB" w:rsidRDefault="006619EB">
            <w:pPr>
              <w:jc w:val="right"/>
              <w:rPr>
                <w:rFonts w:ascii="ＭＳ Ｐゴシック" w:hAnsi="ＭＳ Ｐゴシック"/>
                <w:color w:val="000000"/>
              </w:rPr>
            </w:pPr>
          </w:p>
        </w:tc>
      </w:tr>
      <w:tr w:rsidR="006619EB" w14:paraId="4350939B" w14:textId="77777777" w:rsidTr="00342978">
        <w:trPr>
          <w:trHeight w:val="1095"/>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3A6A5C6F"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RF Exposure </w:t>
            </w:r>
          </w:p>
          <w:p w14:paraId="1D68E95D" w14:textId="77777777" w:rsidR="006619EB" w:rsidRPr="006619EB" w:rsidRDefault="00863B70">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19EB" w:rsidRPr="006619EB">
              <w:rPr>
                <w:rFonts w:ascii="ＭＳ Ｐゴシック" w:eastAsia="ＭＳ Ｐゴシック" w:hAnsi="ＭＳ Ｐゴシック"/>
                <w:sz w:val="21"/>
                <w:szCs w:val="21"/>
              </w:rPr>
              <w:t xml:space="preserve"> Devices subject to SAR requirements </w:t>
            </w:r>
          </w:p>
          <w:p w14:paraId="5CCD62DC" w14:textId="77777777" w:rsidR="006619EB" w:rsidRPr="006619EB" w:rsidRDefault="006619EB">
            <w:pPr>
              <w:pStyle w:val="Default"/>
              <w:rPr>
                <w:rFonts w:ascii="ＭＳ Ｐゴシック" w:eastAsia="ＭＳ Ｐゴシック" w:hAnsi="ＭＳ Ｐゴシック"/>
                <w:sz w:val="21"/>
                <w:szCs w:val="21"/>
              </w:rPr>
            </w:pP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4E56761A"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 xml:space="preserve">IEEE Std 1528™-2013 </w:t>
            </w:r>
          </w:p>
          <w:p w14:paraId="65FD97AA" w14:textId="77777777" w:rsidR="006619EB" w:rsidRPr="006619EB" w:rsidRDefault="006619EB">
            <w:pPr>
              <w:pStyle w:val="Default"/>
              <w:rPr>
                <w:rFonts w:ascii="ＭＳ Ｐゴシック" w:eastAsia="ＭＳ Ｐゴシック" w:hAnsi="ＭＳ Ｐゴシック"/>
                <w:sz w:val="21"/>
                <w:szCs w:val="21"/>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CB034E4"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1EE9EA65"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ED1D6D2"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232AFD9F" w14:textId="77777777" w:rsidR="006619EB" w:rsidRPr="006619EB" w:rsidRDefault="006619EB">
            <w:pPr>
              <w:jc w:val="right"/>
              <w:rPr>
                <w:rFonts w:ascii="ＭＳ Ｐゴシック" w:hAnsi="ＭＳ Ｐゴシック"/>
                <w:color w:val="000000"/>
              </w:rPr>
            </w:pPr>
          </w:p>
        </w:tc>
      </w:tr>
      <w:tr w:rsidR="006619EB" w14:paraId="084D1219" w14:textId="77777777" w:rsidTr="00342978">
        <w:trPr>
          <w:trHeight w:val="1095"/>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053B68CB"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Hearing Aid Compatibility (Part 20) </w:t>
            </w:r>
          </w:p>
          <w:p w14:paraId="532FF229" w14:textId="77777777" w:rsidR="006619EB" w:rsidRPr="006619EB" w:rsidRDefault="00863B70" w:rsidP="00863B70">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19EB" w:rsidRPr="006619EB">
              <w:rPr>
                <w:rFonts w:ascii="ＭＳ Ｐゴシック" w:eastAsia="ＭＳ Ｐゴシック" w:hAnsi="ＭＳ Ｐゴシック"/>
                <w:sz w:val="21"/>
                <w:szCs w:val="21"/>
              </w:rPr>
              <w:t xml:space="preserve"> HAC for Commercial mobile services </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7169F47F"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sz w:val="21"/>
                <w:szCs w:val="21"/>
              </w:rPr>
              <w:t>A</w:t>
            </w:r>
            <w:r w:rsidR="00863B70">
              <w:rPr>
                <w:rFonts w:ascii="ＭＳ Ｐゴシック" w:eastAsia="ＭＳ Ｐゴシック" w:hAnsi="ＭＳ Ｐゴシック"/>
                <w:sz w:val="21"/>
                <w:szCs w:val="21"/>
              </w:rPr>
              <w:t>NSI C63.19-2011</w:t>
            </w:r>
          </w:p>
          <w:p w14:paraId="08D591AB" w14:textId="77777777" w:rsidR="006619EB" w:rsidRPr="006619EB" w:rsidRDefault="006619EB">
            <w:pPr>
              <w:pStyle w:val="Default"/>
              <w:rPr>
                <w:rFonts w:ascii="ＭＳ Ｐゴシック" w:eastAsia="ＭＳ Ｐゴシック" w:hAnsi="ＭＳ Ｐゴシック"/>
                <w:sz w:val="21"/>
                <w:szCs w:val="21"/>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4420565"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3D5B6F9"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68D97301"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791DD3A3" w14:textId="77777777" w:rsidR="006619EB" w:rsidRPr="006619EB" w:rsidRDefault="006619EB">
            <w:pPr>
              <w:jc w:val="right"/>
              <w:rPr>
                <w:rFonts w:ascii="ＭＳ Ｐゴシック" w:hAnsi="ＭＳ Ｐゴシック"/>
                <w:color w:val="000000"/>
              </w:rPr>
            </w:pPr>
          </w:p>
        </w:tc>
      </w:tr>
      <w:tr w:rsidR="006619EB" w14:paraId="2513F037" w14:textId="77777777" w:rsidTr="00342978">
        <w:trPr>
          <w:trHeight w:val="1703"/>
        </w:trPr>
        <w:tc>
          <w:tcPr>
            <w:tcW w:w="69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14:paraId="0FBC028E"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lastRenderedPageBreak/>
              <w:t xml:space="preserve">Signal Boosters (Part 20) </w:t>
            </w:r>
          </w:p>
          <w:p w14:paraId="3ABAC147" w14:textId="77777777" w:rsidR="006619EB" w:rsidRPr="006619EB" w:rsidRDefault="00863B70" w:rsidP="00342978">
            <w:pPr>
              <w:pStyle w:val="Default"/>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19EB" w:rsidRPr="006619EB">
              <w:rPr>
                <w:rFonts w:ascii="ＭＳ Ｐゴシック" w:eastAsia="ＭＳ Ｐゴシック" w:hAnsi="ＭＳ Ｐゴシック"/>
                <w:sz w:val="21"/>
                <w:szCs w:val="21"/>
              </w:rPr>
              <w:t xml:space="preserve"> Wideband Consumer signal boosters </w:t>
            </w:r>
          </w:p>
          <w:p w14:paraId="29958368" w14:textId="77777777" w:rsidR="006619EB" w:rsidRPr="006619EB" w:rsidRDefault="00863B70" w:rsidP="00342978">
            <w:pPr>
              <w:pStyle w:val="Default"/>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19EB" w:rsidRPr="006619EB">
              <w:rPr>
                <w:rFonts w:ascii="ＭＳ Ｐゴシック" w:eastAsia="ＭＳ Ｐゴシック" w:hAnsi="ＭＳ Ｐゴシック"/>
                <w:sz w:val="21"/>
                <w:szCs w:val="21"/>
              </w:rPr>
              <w:t xml:space="preserve"> Provider-specific signal boosters </w:t>
            </w:r>
          </w:p>
          <w:p w14:paraId="67DEF29D" w14:textId="77777777" w:rsidR="006619EB" w:rsidRPr="006619EB" w:rsidRDefault="00863B70" w:rsidP="00342978">
            <w:pPr>
              <w:pStyle w:val="Default"/>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19EB" w:rsidRPr="006619EB">
              <w:rPr>
                <w:rFonts w:ascii="ＭＳ Ｐゴシック" w:eastAsia="ＭＳ Ｐゴシック" w:hAnsi="ＭＳ Ｐゴシック"/>
                <w:sz w:val="21"/>
                <w:szCs w:val="21"/>
              </w:rPr>
              <w:t xml:space="preserve"> Industrial signal boosters </w:t>
            </w:r>
          </w:p>
          <w:p w14:paraId="6F0E55F6" w14:textId="77777777" w:rsidR="006619EB" w:rsidRPr="006619EB" w:rsidRDefault="006619EB">
            <w:pPr>
              <w:pStyle w:val="Default"/>
              <w:rPr>
                <w:rFonts w:ascii="ＭＳ Ｐゴシック" w:eastAsia="ＭＳ Ｐゴシック" w:hAnsi="ＭＳ Ｐゴシック"/>
                <w:sz w:val="21"/>
                <w:szCs w:val="21"/>
              </w:rPr>
            </w:pPr>
            <w:r w:rsidRPr="006619EB">
              <w:rPr>
                <w:rFonts w:ascii="ＭＳ Ｐゴシック" w:eastAsia="ＭＳ Ｐゴシック" w:hAnsi="ＭＳ Ｐゴシック"/>
                <w:bCs/>
                <w:sz w:val="21"/>
                <w:szCs w:val="21"/>
              </w:rPr>
              <w:t xml:space="preserve">Signal Boosters (Section 90.219) </w:t>
            </w:r>
          </w:p>
        </w:tc>
        <w:tc>
          <w:tcPr>
            <w:tcW w:w="3402" w:type="dxa"/>
            <w:tcBorders>
              <w:top w:val="single" w:sz="8" w:space="0" w:color="auto"/>
              <w:left w:val="nil"/>
              <w:bottom w:val="single" w:sz="8" w:space="0" w:color="auto"/>
              <w:right w:val="single" w:sz="8" w:space="0" w:color="auto"/>
            </w:tcBorders>
            <w:tcMar>
              <w:top w:w="0" w:type="dxa"/>
              <w:left w:w="99" w:type="dxa"/>
              <w:bottom w:w="0" w:type="dxa"/>
              <w:right w:w="99" w:type="dxa"/>
            </w:tcMar>
          </w:tcPr>
          <w:p w14:paraId="1404B1E9" w14:textId="77777777" w:rsidR="006619EB" w:rsidRPr="00863B70" w:rsidRDefault="006619EB">
            <w:pPr>
              <w:pStyle w:val="Default"/>
              <w:rPr>
                <w:rFonts w:ascii="ＭＳ Ｐゴシック" w:eastAsia="ＭＳ Ｐゴシック" w:hAnsi="ＭＳ Ｐゴシック"/>
                <w:color w:val="0070C0"/>
                <w:sz w:val="21"/>
                <w:szCs w:val="21"/>
              </w:rPr>
            </w:pPr>
            <w:r w:rsidRPr="006619EB">
              <w:rPr>
                <w:rFonts w:ascii="ＭＳ Ｐゴシック" w:eastAsia="ＭＳ Ｐゴシック" w:hAnsi="ＭＳ Ｐゴシック"/>
                <w:sz w:val="21"/>
                <w:szCs w:val="21"/>
              </w:rPr>
              <w:t>ANSI C63.26-2</w:t>
            </w:r>
            <w:r w:rsidRPr="00946A9F">
              <w:rPr>
                <w:rFonts w:ascii="ＭＳ Ｐゴシック" w:eastAsia="ＭＳ Ｐゴシック" w:hAnsi="ＭＳ Ｐゴシック"/>
                <w:color w:val="auto"/>
                <w:sz w:val="21"/>
                <w:szCs w:val="21"/>
              </w:rPr>
              <w:t xml:space="preserve">015 </w:t>
            </w:r>
            <w:r w:rsidR="00863B70" w:rsidRPr="00946A9F">
              <w:rPr>
                <w:rFonts w:ascii="ＭＳ Ｐゴシック" w:eastAsia="ＭＳ Ｐゴシック" w:hAnsi="ＭＳ Ｐゴシック"/>
                <w:color w:val="auto"/>
                <w:sz w:val="21"/>
                <w:szCs w:val="21"/>
              </w:rPr>
              <w:t>[2]</w:t>
            </w:r>
          </w:p>
          <w:p w14:paraId="1329EEB8" w14:textId="77777777" w:rsidR="006619EB" w:rsidRPr="006619EB" w:rsidRDefault="006619EB">
            <w:pPr>
              <w:pStyle w:val="Default"/>
              <w:rPr>
                <w:rFonts w:ascii="ＭＳ Ｐゴシック" w:eastAsia="ＭＳ Ｐゴシック" w:hAnsi="ＭＳ Ｐゴシック"/>
                <w:sz w:val="21"/>
                <w:szCs w:val="21"/>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4AB7CFBA"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08A8E5F8"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528B14F0" w14:textId="77777777" w:rsidR="006619EB" w:rsidRPr="006619EB" w:rsidRDefault="006619EB">
            <w:pPr>
              <w:jc w:val="right"/>
              <w:rPr>
                <w:rFonts w:ascii="ＭＳ Ｐゴシック" w:hAnsi="ＭＳ Ｐゴシック"/>
                <w:color w:val="000000"/>
              </w:rPr>
            </w:pPr>
          </w:p>
        </w:tc>
        <w:tc>
          <w:tcPr>
            <w:tcW w:w="1134" w:type="dxa"/>
            <w:tcBorders>
              <w:top w:val="single" w:sz="8" w:space="0" w:color="auto"/>
              <w:left w:val="nil"/>
              <w:bottom w:val="single" w:sz="8" w:space="0" w:color="auto"/>
              <w:right w:val="single" w:sz="8" w:space="0" w:color="auto"/>
            </w:tcBorders>
            <w:noWrap/>
            <w:tcMar>
              <w:top w:w="0" w:type="dxa"/>
              <w:left w:w="99" w:type="dxa"/>
              <w:bottom w:w="0" w:type="dxa"/>
              <w:right w:w="99" w:type="dxa"/>
            </w:tcMar>
          </w:tcPr>
          <w:p w14:paraId="3CAF1DB8" w14:textId="77777777" w:rsidR="006619EB" w:rsidRPr="006619EB" w:rsidRDefault="006619EB">
            <w:pPr>
              <w:jc w:val="right"/>
              <w:rPr>
                <w:rFonts w:ascii="ＭＳ Ｐゴシック" w:hAnsi="ＭＳ Ｐゴシック"/>
                <w:color w:val="000000"/>
              </w:rPr>
            </w:pPr>
          </w:p>
        </w:tc>
      </w:tr>
    </w:tbl>
    <w:p w14:paraId="400B2D46" w14:textId="77777777" w:rsidR="00946A9F" w:rsidRPr="001D490F" w:rsidRDefault="00946A9F" w:rsidP="00946A9F">
      <w:pPr>
        <w:rPr>
          <w:sz w:val="20"/>
          <w:szCs w:val="20"/>
        </w:rPr>
      </w:pPr>
      <w:r w:rsidRPr="001D490F">
        <w:rPr>
          <w:rFonts w:ascii="ＭＳ Ｐゴシック" w:hAnsi="ＭＳ Ｐゴシック" w:hint="eastAsia"/>
          <w:bCs/>
          <w:vertAlign w:val="superscript"/>
        </w:rPr>
        <w:t>18</w:t>
      </w:r>
      <w:r w:rsidRPr="001D490F">
        <w:rPr>
          <w:rFonts w:ascii="ＭＳ Ｐゴシック" w:hAnsi="ＭＳ Ｐゴシック"/>
          <w:bCs/>
        </w:rPr>
        <w:t xml:space="preserve"> Microwave frequencies as used in this FCC scope refer to frequencies of 3 GHz and above.</w:t>
      </w:r>
    </w:p>
    <w:p w14:paraId="07D49A2B" w14:textId="77777777" w:rsidR="00946A9F" w:rsidRDefault="00946A9F" w:rsidP="00946A9F">
      <w:pPr>
        <w:ind w:firstLineChars="71" w:firstLine="142"/>
        <w:rPr>
          <w:sz w:val="20"/>
          <w:szCs w:val="20"/>
        </w:rPr>
      </w:pPr>
      <w:r w:rsidRPr="001D490F">
        <w:rPr>
          <w:rFonts w:hint="eastAsia"/>
          <w:sz w:val="20"/>
          <w:szCs w:val="20"/>
        </w:rPr>
        <w:t>この</w:t>
      </w:r>
      <w:r w:rsidRPr="001D490F">
        <w:rPr>
          <w:rFonts w:hint="eastAsia"/>
          <w:sz w:val="20"/>
          <w:szCs w:val="20"/>
        </w:rPr>
        <w:t>FCC</w:t>
      </w:r>
      <w:r w:rsidRPr="001D490F">
        <w:rPr>
          <w:rFonts w:hint="eastAsia"/>
          <w:sz w:val="20"/>
          <w:szCs w:val="20"/>
        </w:rPr>
        <w:t>スコープで使用されているマイクロ波周波数は、</w:t>
      </w:r>
      <w:r w:rsidRPr="001D490F">
        <w:rPr>
          <w:rFonts w:hint="eastAsia"/>
          <w:sz w:val="20"/>
          <w:szCs w:val="20"/>
        </w:rPr>
        <w:t>3 GHz</w:t>
      </w:r>
      <w:r w:rsidRPr="001D490F">
        <w:rPr>
          <w:rFonts w:hint="eastAsia"/>
          <w:sz w:val="20"/>
          <w:szCs w:val="20"/>
        </w:rPr>
        <w:t>以上の周波数を指します。</w:t>
      </w:r>
    </w:p>
    <w:p w14:paraId="4F3DC4CD" w14:textId="77777777" w:rsidR="00946A9F" w:rsidRDefault="00946A9F" w:rsidP="008374B6">
      <w:pPr>
        <w:rPr>
          <w:rFonts w:hint="eastAsia"/>
          <w:color w:val="1F497D"/>
          <w:sz w:val="20"/>
          <w:szCs w:val="20"/>
        </w:rPr>
      </w:pPr>
    </w:p>
    <w:p w14:paraId="755F7441" w14:textId="77777777" w:rsidR="006F045F" w:rsidRPr="006F045F" w:rsidRDefault="006F045F" w:rsidP="006F045F">
      <w:pPr>
        <w:rPr>
          <w:sz w:val="20"/>
          <w:szCs w:val="20"/>
        </w:rPr>
      </w:pPr>
      <w:r w:rsidRPr="006F045F">
        <w:rPr>
          <w:sz w:val="20"/>
          <w:szCs w:val="20"/>
        </w:rPr>
        <w:t>Table A1 Notes:</w:t>
      </w:r>
    </w:p>
    <w:p w14:paraId="69FBE137" w14:textId="77777777" w:rsidR="006F045F" w:rsidRDefault="006F045F" w:rsidP="006F045F">
      <w:pPr>
        <w:rPr>
          <w:sz w:val="20"/>
          <w:szCs w:val="20"/>
        </w:rPr>
      </w:pPr>
      <w:r w:rsidRPr="006F045F">
        <w:rPr>
          <w:sz w:val="20"/>
          <w:szCs w:val="20"/>
        </w:rPr>
        <w:t>[1] ANSI/TIA-603-D-2010 or ANSI/TIA-102.CAAA-D-2013 may continue to be used until March 2, 2020 which is two years from the date of the publication of this KDB.</w:t>
      </w:r>
    </w:p>
    <w:p w14:paraId="7EFBE1B4" w14:textId="77777777" w:rsidR="00953EF5" w:rsidRPr="00946A9F" w:rsidRDefault="00953EF5" w:rsidP="00953EF5">
      <w:pPr>
        <w:tabs>
          <w:tab w:val="left" w:pos="142"/>
        </w:tabs>
        <w:ind w:firstLineChars="142" w:firstLine="284"/>
        <w:rPr>
          <w:sz w:val="20"/>
          <w:szCs w:val="20"/>
        </w:rPr>
      </w:pPr>
      <w:r w:rsidRPr="00953EF5">
        <w:rPr>
          <w:rFonts w:hint="eastAsia"/>
          <w:sz w:val="20"/>
          <w:szCs w:val="20"/>
        </w:rPr>
        <w:t>ANSI / TIA-603-D-2010</w:t>
      </w:r>
      <w:r w:rsidRPr="00953EF5">
        <w:rPr>
          <w:rFonts w:hint="eastAsia"/>
          <w:sz w:val="20"/>
          <w:szCs w:val="20"/>
        </w:rPr>
        <w:t>または</w:t>
      </w:r>
      <w:r w:rsidRPr="00953EF5">
        <w:rPr>
          <w:rFonts w:hint="eastAsia"/>
          <w:sz w:val="20"/>
          <w:szCs w:val="20"/>
        </w:rPr>
        <w:t>ANSI / TIA-102.CAAA-D-2013</w:t>
      </w:r>
      <w:r w:rsidRPr="00953EF5">
        <w:rPr>
          <w:rFonts w:hint="eastAsia"/>
          <w:sz w:val="20"/>
          <w:szCs w:val="20"/>
        </w:rPr>
        <w:t>は、この</w:t>
      </w:r>
      <w:r w:rsidRPr="00953EF5">
        <w:rPr>
          <w:rFonts w:hint="eastAsia"/>
          <w:sz w:val="20"/>
          <w:szCs w:val="20"/>
        </w:rPr>
        <w:t>KDB</w:t>
      </w:r>
      <w:r w:rsidRPr="00953EF5">
        <w:rPr>
          <w:rFonts w:hint="eastAsia"/>
          <w:sz w:val="20"/>
          <w:szCs w:val="20"/>
        </w:rPr>
        <w:t>の公開日から</w:t>
      </w:r>
      <w:r w:rsidRPr="00953EF5">
        <w:rPr>
          <w:rFonts w:hint="eastAsia"/>
          <w:sz w:val="20"/>
          <w:szCs w:val="20"/>
        </w:rPr>
        <w:t>2</w:t>
      </w:r>
      <w:r w:rsidRPr="00953EF5">
        <w:rPr>
          <w:rFonts w:hint="eastAsia"/>
          <w:sz w:val="20"/>
          <w:szCs w:val="20"/>
        </w:rPr>
        <w:t>年間の</w:t>
      </w:r>
      <w:r w:rsidRPr="00953EF5">
        <w:rPr>
          <w:rFonts w:hint="eastAsia"/>
          <w:sz w:val="20"/>
          <w:szCs w:val="20"/>
        </w:rPr>
        <w:t>2020</w:t>
      </w:r>
      <w:r w:rsidRPr="00953EF5">
        <w:rPr>
          <w:rFonts w:hint="eastAsia"/>
          <w:sz w:val="20"/>
          <w:szCs w:val="20"/>
        </w:rPr>
        <w:t>年</w:t>
      </w:r>
      <w:r w:rsidRPr="00953EF5">
        <w:rPr>
          <w:rFonts w:hint="eastAsia"/>
          <w:sz w:val="20"/>
          <w:szCs w:val="20"/>
        </w:rPr>
        <w:t>3</w:t>
      </w:r>
      <w:r w:rsidRPr="00953EF5">
        <w:rPr>
          <w:rFonts w:hint="eastAsia"/>
          <w:sz w:val="20"/>
          <w:szCs w:val="20"/>
        </w:rPr>
        <w:t>月</w:t>
      </w:r>
      <w:r w:rsidRPr="00953EF5">
        <w:rPr>
          <w:rFonts w:hint="eastAsia"/>
          <w:sz w:val="20"/>
          <w:szCs w:val="20"/>
        </w:rPr>
        <w:t>2</w:t>
      </w:r>
      <w:r w:rsidRPr="00953EF5">
        <w:rPr>
          <w:rFonts w:hint="eastAsia"/>
          <w:sz w:val="20"/>
          <w:szCs w:val="20"/>
        </w:rPr>
        <w:t>日まで使用される可能性があります。</w:t>
      </w:r>
    </w:p>
    <w:p w14:paraId="200EB7B8" w14:textId="77777777" w:rsidR="006F045F" w:rsidRPr="00946A9F" w:rsidRDefault="006F045F" w:rsidP="006F045F">
      <w:pPr>
        <w:ind w:leftChars="1" w:left="284" w:hangingChars="141" w:hanging="282"/>
        <w:rPr>
          <w:sz w:val="20"/>
          <w:szCs w:val="20"/>
        </w:rPr>
      </w:pPr>
      <w:r w:rsidRPr="00946A9F">
        <w:rPr>
          <w:sz w:val="20"/>
          <w:szCs w:val="20"/>
        </w:rPr>
        <w:t>[2] For Signal Boosters (Part 20) accreditation is required for Commercial Mobile Services (FCC Licensed Radio Service Equipment) and for Signal Boosters (Section 90.219) accreditation is required for General Mobile Radio Services (FCC Licensed Radio Service Equipment).</w:t>
      </w:r>
    </w:p>
    <w:p w14:paraId="6FAAD519" w14:textId="77777777" w:rsidR="00953EF5" w:rsidRPr="00946A9F" w:rsidRDefault="00953EF5" w:rsidP="00953EF5">
      <w:pPr>
        <w:ind w:leftChars="135" w:left="283"/>
        <w:rPr>
          <w:sz w:val="20"/>
          <w:szCs w:val="20"/>
        </w:rPr>
      </w:pPr>
      <w:r w:rsidRPr="00946A9F">
        <w:rPr>
          <w:rFonts w:hint="eastAsia"/>
          <w:sz w:val="20"/>
          <w:szCs w:val="20"/>
        </w:rPr>
        <w:t>シグナルブースター（パート</w:t>
      </w:r>
      <w:r w:rsidRPr="00946A9F">
        <w:rPr>
          <w:rFonts w:hint="eastAsia"/>
          <w:sz w:val="20"/>
          <w:szCs w:val="20"/>
        </w:rPr>
        <w:t>20</w:t>
      </w:r>
      <w:r w:rsidRPr="00946A9F">
        <w:rPr>
          <w:rFonts w:hint="eastAsia"/>
          <w:sz w:val="20"/>
          <w:szCs w:val="20"/>
        </w:rPr>
        <w:t>）については、商用モバイルサービス（</w:t>
      </w:r>
      <w:r w:rsidRPr="00946A9F">
        <w:rPr>
          <w:rFonts w:hint="eastAsia"/>
          <w:sz w:val="20"/>
          <w:szCs w:val="20"/>
        </w:rPr>
        <w:t>FCC</w:t>
      </w:r>
      <w:r w:rsidRPr="00946A9F">
        <w:rPr>
          <w:rFonts w:hint="eastAsia"/>
          <w:sz w:val="20"/>
          <w:szCs w:val="20"/>
        </w:rPr>
        <w:t>ライセンス無線サービス機器）およびシグナルブースター（セクション</w:t>
      </w:r>
      <w:r w:rsidRPr="00946A9F">
        <w:rPr>
          <w:rFonts w:hint="eastAsia"/>
          <w:sz w:val="20"/>
          <w:szCs w:val="20"/>
        </w:rPr>
        <w:t>90.219</w:t>
      </w:r>
      <w:r w:rsidRPr="00946A9F">
        <w:rPr>
          <w:rFonts w:hint="eastAsia"/>
          <w:sz w:val="20"/>
          <w:szCs w:val="20"/>
        </w:rPr>
        <w:t>）については、一般モバイルラジオサービス（</w:t>
      </w:r>
      <w:r w:rsidRPr="00946A9F">
        <w:rPr>
          <w:rFonts w:hint="eastAsia"/>
          <w:sz w:val="20"/>
          <w:szCs w:val="20"/>
        </w:rPr>
        <w:t>FCC</w:t>
      </w:r>
      <w:r w:rsidRPr="00946A9F">
        <w:rPr>
          <w:rFonts w:hint="eastAsia"/>
          <w:sz w:val="20"/>
          <w:szCs w:val="20"/>
        </w:rPr>
        <w:t>ライセンス無線サービス機器）についての認証が必要です。</w:t>
      </w:r>
    </w:p>
    <w:p w14:paraId="07BE1653" w14:textId="77777777" w:rsidR="006F045F" w:rsidRPr="00946A9F" w:rsidRDefault="006F045F" w:rsidP="006F045F">
      <w:pPr>
        <w:ind w:leftChars="1" w:left="284" w:hangingChars="141" w:hanging="282"/>
        <w:rPr>
          <w:sz w:val="20"/>
          <w:szCs w:val="20"/>
        </w:rPr>
      </w:pPr>
      <w:r w:rsidRPr="00946A9F">
        <w:rPr>
          <w:sz w:val="20"/>
          <w:szCs w:val="20"/>
        </w:rPr>
        <w:t>[3] Table updates for the scope General Mobile Radio Service to add text “above 3 GHz” and for the Microwave and Millimeter Wave Bands Radio Services for Parts 90, 95 and 97 above 3 GHz in version v05r01 are considered clarifications to the scope and therefore the two year transition period ends on March 2, 2020 and is not extended two year from the release date of v05r01.</w:t>
      </w:r>
    </w:p>
    <w:p w14:paraId="17BE4BAA" w14:textId="77777777" w:rsidR="00946A9F" w:rsidRPr="00946A9F" w:rsidRDefault="00953EF5" w:rsidP="00946A9F">
      <w:pPr>
        <w:ind w:leftChars="135" w:left="283"/>
        <w:rPr>
          <w:sz w:val="20"/>
          <w:szCs w:val="20"/>
        </w:rPr>
      </w:pPr>
      <w:r w:rsidRPr="00946A9F">
        <w:rPr>
          <w:rFonts w:hint="eastAsia"/>
          <w:sz w:val="20"/>
          <w:szCs w:val="20"/>
        </w:rPr>
        <w:t>v05r01</w:t>
      </w:r>
      <w:r w:rsidRPr="00946A9F">
        <w:rPr>
          <w:rFonts w:hint="eastAsia"/>
          <w:sz w:val="20"/>
          <w:szCs w:val="20"/>
        </w:rPr>
        <w:t>の「</w:t>
      </w:r>
      <w:r w:rsidRPr="00946A9F">
        <w:rPr>
          <w:rFonts w:hint="eastAsia"/>
          <w:sz w:val="20"/>
          <w:szCs w:val="20"/>
        </w:rPr>
        <w:t>3 GHz</w:t>
      </w:r>
      <w:r w:rsidRPr="00946A9F">
        <w:rPr>
          <w:rFonts w:hint="eastAsia"/>
          <w:sz w:val="20"/>
          <w:szCs w:val="20"/>
        </w:rPr>
        <w:t>を超える」というテキストを追加するための</w:t>
      </w:r>
      <w:r w:rsidR="00863B70" w:rsidRPr="00946A9F">
        <w:rPr>
          <w:rFonts w:hint="eastAsia"/>
          <w:sz w:val="20"/>
          <w:szCs w:val="20"/>
        </w:rPr>
        <w:t>Scope</w:t>
      </w:r>
      <w:r w:rsidRPr="00946A9F">
        <w:rPr>
          <w:rFonts w:hint="eastAsia"/>
          <w:sz w:val="20"/>
          <w:szCs w:val="20"/>
        </w:rPr>
        <w:t>「</w:t>
      </w:r>
      <w:r w:rsidRPr="00946A9F">
        <w:rPr>
          <w:rFonts w:hint="eastAsia"/>
          <w:sz w:val="20"/>
          <w:szCs w:val="20"/>
        </w:rPr>
        <w:t>General Mobile Radio Service</w:t>
      </w:r>
      <w:r w:rsidRPr="00946A9F">
        <w:rPr>
          <w:rFonts w:hint="eastAsia"/>
          <w:sz w:val="20"/>
          <w:szCs w:val="20"/>
        </w:rPr>
        <w:t>」、および</w:t>
      </w:r>
      <w:r w:rsidRPr="00946A9F">
        <w:rPr>
          <w:rFonts w:hint="eastAsia"/>
          <w:sz w:val="20"/>
          <w:szCs w:val="20"/>
        </w:rPr>
        <w:t>3 GHz</w:t>
      </w:r>
      <w:r w:rsidRPr="00946A9F">
        <w:rPr>
          <w:rFonts w:hint="eastAsia"/>
          <w:sz w:val="20"/>
          <w:szCs w:val="20"/>
        </w:rPr>
        <w:t>を超えるパート</w:t>
      </w:r>
      <w:r w:rsidRPr="00946A9F">
        <w:rPr>
          <w:rFonts w:hint="eastAsia"/>
          <w:sz w:val="20"/>
          <w:szCs w:val="20"/>
        </w:rPr>
        <w:t>90</w:t>
      </w:r>
      <w:r w:rsidRPr="00946A9F">
        <w:rPr>
          <w:rFonts w:hint="eastAsia"/>
          <w:sz w:val="20"/>
          <w:szCs w:val="20"/>
        </w:rPr>
        <w:t>、</w:t>
      </w:r>
      <w:r w:rsidRPr="00946A9F">
        <w:rPr>
          <w:rFonts w:hint="eastAsia"/>
          <w:sz w:val="20"/>
          <w:szCs w:val="20"/>
        </w:rPr>
        <w:t>95</w:t>
      </w:r>
      <w:r w:rsidRPr="00946A9F">
        <w:rPr>
          <w:rFonts w:hint="eastAsia"/>
          <w:sz w:val="20"/>
          <w:szCs w:val="20"/>
        </w:rPr>
        <w:t>、および</w:t>
      </w:r>
      <w:r w:rsidRPr="00946A9F">
        <w:rPr>
          <w:rFonts w:hint="eastAsia"/>
          <w:sz w:val="20"/>
          <w:szCs w:val="20"/>
        </w:rPr>
        <w:t>97</w:t>
      </w:r>
      <w:r w:rsidRPr="00946A9F">
        <w:rPr>
          <w:rFonts w:hint="eastAsia"/>
          <w:sz w:val="20"/>
          <w:szCs w:val="20"/>
        </w:rPr>
        <w:t>のマイクロ波およびミリ波帯のラジオサービスに関する表の更新は、範囲の明確化と見なされます。</w:t>
      </w:r>
      <w:r w:rsidRPr="00946A9F">
        <w:rPr>
          <w:rFonts w:hint="eastAsia"/>
          <w:sz w:val="20"/>
          <w:szCs w:val="20"/>
        </w:rPr>
        <w:t xml:space="preserve"> </w:t>
      </w:r>
      <w:r w:rsidRPr="00946A9F">
        <w:rPr>
          <w:rFonts w:hint="eastAsia"/>
          <w:sz w:val="20"/>
          <w:szCs w:val="20"/>
        </w:rPr>
        <w:t>移行期間は</w:t>
      </w:r>
      <w:r w:rsidRPr="00946A9F">
        <w:rPr>
          <w:rFonts w:hint="eastAsia"/>
          <w:sz w:val="20"/>
          <w:szCs w:val="20"/>
        </w:rPr>
        <w:t>2020</w:t>
      </w:r>
      <w:r w:rsidRPr="00946A9F">
        <w:rPr>
          <w:rFonts w:hint="eastAsia"/>
          <w:sz w:val="20"/>
          <w:szCs w:val="20"/>
        </w:rPr>
        <w:t>年</w:t>
      </w:r>
      <w:r w:rsidRPr="00946A9F">
        <w:rPr>
          <w:rFonts w:hint="eastAsia"/>
          <w:sz w:val="20"/>
          <w:szCs w:val="20"/>
        </w:rPr>
        <w:t>3</w:t>
      </w:r>
      <w:r w:rsidRPr="00946A9F">
        <w:rPr>
          <w:rFonts w:hint="eastAsia"/>
          <w:sz w:val="20"/>
          <w:szCs w:val="20"/>
        </w:rPr>
        <w:t>月</w:t>
      </w:r>
      <w:r w:rsidRPr="00946A9F">
        <w:rPr>
          <w:rFonts w:hint="eastAsia"/>
          <w:sz w:val="20"/>
          <w:szCs w:val="20"/>
        </w:rPr>
        <w:t>2</w:t>
      </w:r>
      <w:r w:rsidRPr="00946A9F">
        <w:rPr>
          <w:rFonts w:hint="eastAsia"/>
          <w:sz w:val="20"/>
          <w:szCs w:val="20"/>
        </w:rPr>
        <w:t>日で終了し、</w:t>
      </w:r>
      <w:r w:rsidRPr="00946A9F">
        <w:rPr>
          <w:rFonts w:hint="eastAsia"/>
          <w:sz w:val="20"/>
          <w:szCs w:val="20"/>
        </w:rPr>
        <w:t>v05r01</w:t>
      </w:r>
      <w:r w:rsidRPr="00946A9F">
        <w:rPr>
          <w:rFonts w:hint="eastAsia"/>
          <w:sz w:val="20"/>
          <w:szCs w:val="20"/>
        </w:rPr>
        <w:t>のリリース日から</w:t>
      </w:r>
      <w:r w:rsidRPr="00946A9F">
        <w:rPr>
          <w:rFonts w:hint="eastAsia"/>
          <w:sz w:val="20"/>
          <w:szCs w:val="20"/>
        </w:rPr>
        <w:t>2</w:t>
      </w:r>
      <w:r w:rsidRPr="00946A9F">
        <w:rPr>
          <w:rFonts w:hint="eastAsia"/>
          <w:sz w:val="20"/>
          <w:szCs w:val="20"/>
        </w:rPr>
        <w:t>年間は延長されません。</w:t>
      </w:r>
    </w:p>
    <w:p w14:paraId="7A697D8A" w14:textId="2CB120D1" w:rsidR="00946A9F" w:rsidRPr="00A91603" w:rsidRDefault="00946A9F" w:rsidP="00946A9F">
      <w:pPr>
        <w:ind w:leftChars="1" w:left="284" w:hangingChars="141" w:hanging="282"/>
        <w:rPr>
          <w:color w:val="0070C0"/>
          <w:sz w:val="20"/>
          <w:szCs w:val="20"/>
        </w:rPr>
      </w:pPr>
      <w:r w:rsidRPr="00A91603">
        <w:rPr>
          <w:color w:val="0070C0"/>
          <w:sz w:val="20"/>
          <w:szCs w:val="20"/>
        </w:rPr>
        <w:t>[</w:t>
      </w:r>
      <w:r>
        <w:rPr>
          <w:rFonts w:hint="eastAsia"/>
          <w:color w:val="0070C0"/>
          <w:sz w:val="20"/>
          <w:szCs w:val="20"/>
        </w:rPr>
        <w:t>4</w:t>
      </w:r>
      <w:r w:rsidRPr="00A91603">
        <w:rPr>
          <w:color w:val="0070C0"/>
          <w:sz w:val="20"/>
          <w:szCs w:val="20"/>
        </w:rPr>
        <w:t xml:space="preserve">] </w:t>
      </w:r>
      <w:r w:rsidRPr="00946A9F">
        <w:rPr>
          <w:color w:val="0070C0"/>
          <w:sz w:val="20"/>
          <w:szCs w:val="20"/>
        </w:rPr>
        <w:t>For 6 GHz U-NII AFC devices, a test laboratory that has been assessed and FCC recognized for FCC scopes UNII with DFS or UNII without DFS may test devices to the guidance in KDB 987594 until their next scheduled assessment without an interim assessment. In order to continue testing to the guidance in KDB 987594 after a testing laboratories next scheduled assessment, the testing laboratory must have been assessed and found capable of testing to the KDB publication</w:t>
      </w:r>
      <w:r>
        <w:rPr>
          <w:rFonts w:hint="eastAsia"/>
          <w:color w:val="0070C0"/>
          <w:sz w:val="20"/>
          <w:szCs w:val="20"/>
        </w:rPr>
        <w:t>.</w:t>
      </w:r>
    </w:p>
    <w:p w14:paraId="5D18FB78" w14:textId="18565419" w:rsidR="00031B82" w:rsidRDefault="00031B82" w:rsidP="00946A9F">
      <w:pPr>
        <w:ind w:leftChars="135" w:left="283" w:firstLine="1"/>
        <w:rPr>
          <w:color w:val="0070C0"/>
          <w:sz w:val="20"/>
          <w:szCs w:val="20"/>
        </w:rPr>
      </w:pPr>
      <w:r w:rsidRPr="00031B82">
        <w:rPr>
          <w:rFonts w:hint="eastAsia"/>
          <w:color w:val="0070C0"/>
          <w:sz w:val="20"/>
          <w:szCs w:val="20"/>
        </w:rPr>
        <w:t xml:space="preserve">6 GHz U-NII AFC devices </w:t>
      </w:r>
      <w:r w:rsidRPr="00031B82">
        <w:rPr>
          <w:rFonts w:hint="eastAsia"/>
          <w:color w:val="0070C0"/>
          <w:sz w:val="20"/>
          <w:szCs w:val="20"/>
        </w:rPr>
        <w:t>の場合、既に評価され、</w:t>
      </w:r>
      <w:r w:rsidRPr="00031B82">
        <w:rPr>
          <w:rFonts w:hint="eastAsia"/>
          <w:color w:val="0070C0"/>
          <w:sz w:val="20"/>
          <w:szCs w:val="20"/>
        </w:rPr>
        <w:t xml:space="preserve">FCC </w:t>
      </w:r>
      <w:r w:rsidRPr="00031B82">
        <w:rPr>
          <w:rFonts w:hint="eastAsia"/>
          <w:color w:val="0070C0"/>
          <w:sz w:val="20"/>
          <w:szCs w:val="20"/>
        </w:rPr>
        <w:t>スコープ</w:t>
      </w:r>
      <w:r w:rsidRPr="00031B82">
        <w:rPr>
          <w:rFonts w:hint="eastAsia"/>
          <w:color w:val="0070C0"/>
          <w:sz w:val="20"/>
          <w:szCs w:val="20"/>
        </w:rPr>
        <w:t xml:space="preserve"> </w:t>
      </w:r>
      <w:r w:rsidRPr="00031B82">
        <w:rPr>
          <w:rFonts w:hint="eastAsia"/>
          <w:color w:val="0070C0"/>
          <w:sz w:val="20"/>
          <w:szCs w:val="20"/>
        </w:rPr>
        <w:t>「</w:t>
      </w:r>
      <w:r w:rsidRPr="00031B82">
        <w:rPr>
          <w:rFonts w:hint="eastAsia"/>
          <w:color w:val="0070C0"/>
          <w:sz w:val="20"/>
          <w:szCs w:val="20"/>
        </w:rPr>
        <w:t>UNII with DFS</w:t>
      </w:r>
      <w:r w:rsidRPr="00031B82">
        <w:rPr>
          <w:rFonts w:hint="eastAsia"/>
          <w:color w:val="0070C0"/>
          <w:sz w:val="20"/>
          <w:szCs w:val="20"/>
        </w:rPr>
        <w:t>」</w:t>
      </w:r>
      <w:r w:rsidRPr="00031B82">
        <w:rPr>
          <w:rFonts w:hint="eastAsia"/>
          <w:color w:val="0070C0"/>
          <w:sz w:val="20"/>
          <w:szCs w:val="20"/>
        </w:rPr>
        <w:t xml:space="preserve"> </w:t>
      </w:r>
      <w:r w:rsidRPr="00031B82">
        <w:rPr>
          <w:rFonts w:hint="eastAsia"/>
          <w:color w:val="0070C0"/>
          <w:sz w:val="20"/>
          <w:szCs w:val="20"/>
        </w:rPr>
        <w:t>または「</w:t>
      </w:r>
      <w:r w:rsidRPr="00031B82">
        <w:rPr>
          <w:rFonts w:hint="eastAsia"/>
          <w:color w:val="0070C0"/>
          <w:sz w:val="20"/>
          <w:szCs w:val="20"/>
        </w:rPr>
        <w:t>UNII without DFS</w:t>
      </w:r>
      <w:r w:rsidRPr="00031B82">
        <w:rPr>
          <w:rFonts w:hint="eastAsia"/>
          <w:color w:val="0070C0"/>
          <w:sz w:val="20"/>
          <w:szCs w:val="20"/>
        </w:rPr>
        <w:t>」</w:t>
      </w:r>
      <w:r w:rsidRPr="00031B82">
        <w:rPr>
          <w:rFonts w:hint="eastAsia"/>
          <w:color w:val="0070C0"/>
          <w:sz w:val="20"/>
          <w:szCs w:val="20"/>
        </w:rPr>
        <w:t xml:space="preserve"> </w:t>
      </w:r>
      <w:r w:rsidRPr="00031B82">
        <w:rPr>
          <w:rFonts w:hint="eastAsia"/>
          <w:color w:val="0070C0"/>
          <w:sz w:val="20"/>
          <w:szCs w:val="20"/>
        </w:rPr>
        <w:t>が</w:t>
      </w:r>
      <w:r w:rsidRPr="00031B82">
        <w:rPr>
          <w:rFonts w:hint="eastAsia"/>
          <w:color w:val="0070C0"/>
          <w:sz w:val="20"/>
          <w:szCs w:val="20"/>
        </w:rPr>
        <w:t xml:space="preserve"> FCC </w:t>
      </w:r>
      <w:r w:rsidRPr="00031B82">
        <w:rPr>
          <w:rFonts w:hint="eastAsia"/>
          <w:color w:val="0070C0"/>
          <w:sz w:val="20"/>
          <w:szCs w:val="20"/>
        </w:rPr>
        <w:t>に認められている試験機関は、中間評価を行わずに、次に予定されている評価まで</w:t>
      </w:r>
      <w:r w:rsidRPr="00031B82">
        <w:rPr>
          <w:rFonts w:hint="eastAsia"/>
          <w:color w:val="0070C0"/>
          <w:sz w:val="20"/>
          <w:szCs w:val="20"/>
        </w:rPr>
        <w:t xml:space="preserve"> KDB 987594 </w:t>
      </w:r>
      <w:r w:rsidRPr="00031B82">
        <w:rPr>
          <w:rFonts w:hint="eastAsia"/>
          <w:color w:val="0070C0"/>
          <w:sz w:val="20"/>
          <w:szCs w:val="20"/>
        </w:rPr>
        <w:t>のガイダンスに従って</w:t>
      </w:r>
      <w:r w:rsidRPr="00031B82">
        <w:rPr>
          <w:rFonts w:hint="eastAsia"/>
          <w:color w:val="0070C0"/>
          <w:sz w:val="20"/>
          <w:szCs w:val="20"/>
        </w:rPr>
        <w:t>devices</w:t>
      </w:r>
      <w:r w:rsidRPr="00031B82">
        <w:rPr>
          <w:rFonts w:hint="eastAsia"/>
          <w:color w:val="0070C0"/>
          <w:sz w:val="20"/>
          <w:szCs w:val="20"/>
        </w:rPr>
        <w:t>を試験できます。</w:t>
      </w:r>
      <w:r w:rsidRPr="00031B82">
        <w:rPr>
          <w:rFonts w:hint="eastAsia"/>
          <w:color w:val="0070C0"/>
          <w:sz w:val="20"/>
          <w:szCs w:val="20"/>
        </w:rPr>
        <w:t xml:space="preserve"> </w:t>
      </w:r>
      <w:r w:rsidRPr="00031B82">
        <w:rPr>
          <w:rFonts w:hint="eastAsia"/>
          <w:color w:val="0070C0"/>
          <w:sz w:val="20"/>
          <w:szCs w:val="20"/>
        </w:rPr>
        <w:t>次回予定された評価後に</w:t>
      </w:r>
      <w:r w:rsidRPr="00031B82">
        <w:rPr>
          <w:rFonts w:hint="eastAsia"/>
          <w:color w:val="0070C0"/>
          <w:sz w:val="20"/>
          <w:szCs w:val="20"/>
        </w:rPr>
        <w:t xml:space="preserve"> KDB 987594 </w:t>
      </w:r>
      <w:r w:rsidRPr="00031B82">
        <w:rPr>
          <w:rFonts w:hint="eastAsia"/>
          <w:color w:val="0070C0"/>
          <w:sz w:val="20"/>
          <w:szCs w:val="20"/>
        </w:rPr>
        <w:t>のガイダンスに従った試験を継続するには、試験機関が評価され、</w:t>
      </w:r>
      <w:r w:rsidRPr="00031B82">
        <w:rPr>
          <w:rFonts w:hint="eastAsia"/>
          <w:color w:val="0070C0"/>
          <w:sz w:val="20"/>
          <w:szCs w:val="20"/>
        </w:rPr>
        <w:t xml:space="preserve">KDB </w:t>
      </w:r>
      <w:r w:rsidRPr="00031B82">
        <w:rPr>
          <w:rFonts w:hint="eastAsia"/>
          <w:color w:val="0070C0"/>
          <w:sz w:val="20"/>
          <w:szCs w:val="20"/>
        </w:rPr>
        <w:t>文書に従った試験を実行できることが確認されている必要があります。</w:t>
      </w:r>
    </w:p>
    <w:p w14:paraId="17ABE32F" w14:textId="38372FC8" w:rsidR="00946A9F" w:rsidRDefault="00946A9F" w:rsidP="008374B6">
      <w:pPr>
        <w:rPr>
          <w:color w:val="1F497D"/>
          <w:sz w:val="20"/>
          <w:szCs w:val="20"/>
        </w:rPr>
      </w:pPr>
    </w:p>
    <w:p w14:paraId="3830DDDA" w14:textId="77777777" w:rsidR="00946A9F" w:rsidRPr="00A91603" w:rsidRDefault="00946A9F" w:rsidP="008374B6">
      <w:pPr>
        <w:rPr>
          <w:rFonts w:hint="eastAsia"/>
          <w:color w:val="1F497D"/>
          <w:sz w:val="20"/>
          <w:szCs w:val="20"/>
        </w:rPr>
      </w:pPr>
    </w:p>
    <w:sectPr w:rsidR="00946A9F" w:rsidRPr="00A91603" w:rsidSect="008374B6">
      <w:pgSz w:w="16838" w:h="11906" w:orient="landscape" w:code="9"/>
      <w:pgMar w:top="1134" w:right="1077" w:bottom="1134" w:left="107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6B39" w14:textId="77777777" w:rsidR="000D64EB" w:rsidRDefault="000D64EB" w:rsidP="0002634D">
      <w:r>
        <w:separator/>
      </w:r>
    </w:p>
  </w:endnote>
  <w:endnote w:type="continuationSeparator" w:id="0">
    <w:p w14:paraId="019AF52F" w14:textId="77777777" w:rsidR="000D64EB" w:rsidRDefault="000D64EB" w:rsidP="0002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DC5B" w14:textId="77777777" w:rsidR="000D64EB" w:rsidRDefault="000D64EB" w:rsidP="0002634D">
      <w:r>
        <w:separator/>
      </w:r>
    </w:p>
  </w:footnote>
  <w:footnote w:type="continuationSeparator" w:id="0">
    <w:p w14:paraId="7B214511" w14:textId="77777777" w:rsidR="000D64EB" w:rsidRDefault="000D64EB" w:rsidP="0002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2DA8"/>
    <w:multiLevelType w:val="hybridMultilevel"/>
    <w:tmpl w:val="60367786"/>
    <w:lvl w:ilvl="0" w:tplc="A9B6487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4B6"/>
    <w:rsid w:val="000174BA"/>
    <w:rsid w:val="0002634D"/>
    <w:rsid w:val="00031B82"/>
    <w:rsid w:val="000D5BE2"/>
    <w:rsid w:val="000D64EB"/>
    <w:rsid w:val="00110099"/>
    <w:rsid w:val="001210E7"/>
    <w:rsid w:val="001D490F"/>
    <w:rsid w:val="00207ED5"/>
    <w:rsid w:val="00342978"/>
    <w:rsid w:val="00461ECE"/>
    <w:rsid w:val="004C2CD9"/>
    <w:rsid w:val="006619EB"/>
    <w:rsid w:val="006F045F"/>
    <w:rsid w:val="00701FAF"/>
    <w:rsid w:val="007B529E"/>
    <w:rsid w:val="008374B6"/>
    <w:rsid w:val="00863B70"/>
    <w:rsid w:val="00932294"/>
    <w:rsid w:val="009332F2"/>
    <w:rsid w:val="00946A9F"/>
    <w:rsid w:val="00953EF5"/>
    <w:rsid w:val="00A91603"/>
    <w:rsid w:val="00AF3F11"/>
    <w:rsid w:val="00B55B96"/>
    <w:rsid w:val="00B741F7"/>
    <w:rsid w:val="00D12964"/>
    <w:rsid w:val="00EA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97D9D"/>
  <w15:docId w15:val="{D3A330D6-DFCB-4A9F-BA1C-742E43E3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4B6"/>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34D"/>
    <w:pPr>
      <w:tabs>
        <w:tab w:val="center" w:pos="4252"/>
        <w:tab w:val="right" w:pos="8504"/>
      </w:tabs>
      <w:snapToGrid w:val="0"/>
    </w:pPr>
  </w:style>
  <w:style w:type="character" w:customStyle="1" w:styleId="a4">
    <w:name w:val="ヘッダー (文字)"/>
    <w:basedOn w:val="a0"/>
    <w:link w:val="a3"/>
    <w:uiPriority w:val="99"/>
    <w:rsid w:val="0002634D"/>
    <w:rPr>
      <w:rFonts w:ascii="Arial" w:eastAsia="ＭＳ Ｐゴシック" w:hAnsi="Arial" w:cs="Arial"/>
      <w:kern w:val="0"/>
      <w:szCs w:val="21"/>
    </w:rPr>
  </w:style>
  <w:style w:type="paragraph" w:styleId="a5">
    <w:name w:val="footer"/>
    <w:basedOn w:val="a"/>
    <w:link w:val="a6"/>
    <w:uiPriority w:val="99"/>
    <w:unhideWhenUsed/>
    <w:rsid w:val="0002634D"/>
    <w:pPr>
      <w:tabs>
        <w:tab w:val="center" w:pos="4252"/>
        <w:tab w:val="right" w:pos="8504"/>
      </w:tabs>
      <w:snapToGrid w:val="0"/>
    </w:pPr>
  </w:style>
  <w:style w:type="character" w:customStyle="1" w:styleId="a6">
    <w:name w:val="フッター (文字)"/>
    <w:basedOn w:val="a0"/>
    <w:link w:val="a5"/>
    <w:uiPriority w:val="99"/>
    <w:rsid w:val="0002634D"/>
    <w:rPr>
      <w:rFonts w:ascii="Arial" w:eastAsia="ＭＳ Ｐゴシック" w:hAnsi="Arial" w:cs="Arial"/>
      <w:kern w:val="0"/>
      <w:szCs w:val="21"/>
    </w:rPr>
  </w:style>
  <w:style w:type="paragraph" w:customStyle="1" w:styleId="Default">
    <w:name w:val="Default"/>
    <w:rsid w:val="00461ECE"/>
    <w:pPr>
      <w:widowControl w:val="0"/>
      <w:autoSpaceDE w:val="0"/>
      <w:autoSpaceDN w:val="0"/>
      <w:adjustRightInd w:val="0"/>
    </w:pPr>
    <w:rPr>
      <w:rFonts w:ascii="Times New Roman" w:hAnsi="Times New Roman" w:cs="Times New Roman"/>
      <w:color w:val="000000"/>
      <w:kern w:val="0"/>
      <w:sz w:val="24"/>
      <w:szCs w:val="24"/>
    </w:rPr>
  </w:style>
  <w:style w:type="paragraph" w:styleId="a7">
    <w:name w:val="Balloon Text"/>
    <w:basedOn w:val="a"/>
    <w:link w:val="a8"/>
    <w:uiPriority w:val="99"/>
    <w:semiHidden/>
    <w:unhideWhenUsed/>
    <w:rsid w:val="006619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19EB"/>
    <w:rPr>
      <w:rFonts w:asciiTheme="majorHAnsi" w:eastAsiaTheme="majorEastAsia" w:hAnsiTheme="majorHAnsi" w:cstheme="majorBidi"/>
      <w:kern w:val="0"/>
      <w:sz w:val="18"/>
      <w:szCs w:val="18"/>
    </w:rPr>
  </w:style>
  <w:style w:type="character" w:styleId="a9">
    <w:name w:val="Hyperlink"/>
    <w:basedOn w:val="a0"/>
    <w:uiPriority w:val="99"/>
    <w:semiHidden/>
    <w:unhideWhenUsed/>
    <w:rsid w:val="00EA6B36"/>
    <w:rPr>
      <w:color w:val="0000FF"/>
      <w:u w:val="single"/>
    </w:rPr>
  </w:style>
  <w:style w:type="paragraph" w:styleId="aa">
    <w:name w:val="List Paragraph"/>
    <w:basedOn w:val="a"/>
    <w:uiPriority w:val="34"/>
    <w:qFormat/>
    <w:rsid w:val="00701F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fcc.gov/kdb/GetAttachment.html?id=koP7QuHnAbqrT0URaUjRBw%3D%3D&amp;desc=974614%20D01%20Accredited%20Test%20Lab%20Roles%20and%20Resp%20v05r01&amp;tracking_number=44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807</Words>
  <Characters>4605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dc:creator>
  <cp:lastModifiedBy>pc45</cp:lastModifiedBy>
  <cp:revision>19</cp:revision>
  <cp:lastPrinted>2019-05-22T09:38:00Z</cp:lastPrinted>
  <dcterms:created xsi:type="dcterms:W3CDTF">2017-11-09T05:53:00Z</dcterms:created>
  <dcterms:modified xsi:type="dcterms:W3CDTF">2023-09-01T02:44:00Z</dcterms:modified>
</cp:coreProperties>
</file>